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3A8F78" w14:textId="2E37DA92" w:rsidR="00236CD1" w:rsidRPr="003C4D08" w:rsidRDefault="003C4D08" w:rsidP="003C4D08">
      <w:pPr>
        <w:rPr>
          <w:rFonts w:ascii="Times New Roman" w:hAnsi="Times New Roman" w:cs="Times New Roman"/>
          <w:lang w:val="en-US"/>
        </w:rPr>
      </w:pPr>
      <w:r w:rsidRPr="003C4D08">
        <w:rPr>
          <w:rFonts w:ascii="Times New Roman" w:hAnsi="Times New Roman" w:cs="Times New Roman"/>
          <w:lang w:val="en-US"/>
        </w:rPr>
        <w:t>Response for Comments</w:t>
      </w:r>
    </w:p>
    <w:p w14:paraId="7B36D3C0" w14:textId="77777777" w:rsidR="003C4D08" w:rsidRPr="003C4D08" w:rsidRDefault="003C4D08" w:rsidP="003C4D08">
      <w:pPr>
        <w:rPr>
          <w:rFonts w:ascii="Times New Roman" w:hAnsi="Times New Roman" w:cs="Times New Roman"/>
          <w:lang w:val="en-US"/>
        </w:rPr>
      </w:pPr>
    </w:p>
    <w:tbl>
      <w:tblPr>
        <w:tblStyle w:val="TableGrid"/>
        <w:tblW w:w="9776" w:type="dxa"/>
        <w:tblLook w:val="04A0" w:firstRow="1" w:lastRow="0" w:firstColumn="1" w:lastColumn="0" w:noHBand="0" w:noVBand="1"/>
      </w:tblPr>
      <w:tblGrid>
        <w:gridCol w:w="704"/>
        <w:gridCol w:w="4253"/>
        <w:gridCol w:w="4819"/>
      </w:tblGrid>
      <w:tr w:rsidR="003C4D08" w:rsidRPr="003C4D08" w14:paraId="7294C50C" w14:textId="77777777" w:rsidTr="003C4D08">
        <w:tc>
          <w:tcPr>
            <w:tcW w:w="704" w:type="dxa"/>
          </w:tcPr>
          <w:p w14:paraId="61DBF739" w14:textId="19BD0091" w:rsidR="003C4D08" w:rsidRPr="003C4D08" w:rsidRDefault="003C4D08" w:rsidP="003C4D08">
            <w:pPr>
              <w:rPr>
                <w:rFonts w:ascii="Times New Roman" w:hAnsi="Times New Roman" w:cs="Times New Roman"/>
                <w:lang w:val="en-US"/>
              </w:rPr>
            </w:pPr>
            <w:r w:rsidRPr="003C4D08">
              <w:rPr>
                <w:rFonts w:ascii="Times New Roman" w:hAnsi="Times New Roman" w:cs="Times New Roman"/>
                <w:lang w:val="en-US"/>
              </w:rPr>
              <w:t>No</w:t>
            </w:r>
          </w:p>
        </w:tc>
        <w:tc>
          <w:tcPr>
            <w:tcW w:w="4253" w:type="dxa"/>
          </w:tcPr>
          <w:p w14:paraId="4EA8258A" w14:textId="1719BD3D" w:rsidR="003C4D08" w:rsidRPr="003C4D08" w:rsidRDefault="003C4D08" w:rsidP="003C4D08">
            <w:pPr>
              <w:rPr>
                <w:rFonts w:ascii="Times New Roman" w:hAnsi="Times New Roman" w:cs="Times New Roman"/>
                <w:lang w:val="en-US"/>
              </w:rPr>
            </w:pPr>
            <w:r w:rsidRPr="003C4D08">
              <w:rPr>
                <w:rFonts w:ascii="Times New Roman" w:hAnsi="Times New Roman" w:cs="Times New Roman"/>
                <w:lang w:val="en-US"/>
              </w:rPr>
              <w:t>Questions/Comments</w:t>
            </w:r>
          </w:p>
        </w:tc>
        <w:tc>
          <w:tcPr>
            <w:tcW w:w="4819" w:type="dxa"/>
          </w:tcPr>
          <w:p w14:paraId="23B50530" w14:textId="03E0840F" w:rsidR="003C4D08" w:rsidRPr="003C4D08" w:rsidRDefault="003C4D08" w:rsidP="003C4D08">
            <w:pPr>
              <w:rPr>
                <w:rFonts w:ascii="Times New Roman" w:hAnsi="Times New Roman" w:cs="Times New Roman"/>
                <w:lang w:val="en-US"/>
              </w:rPr>
            </w:pPr>
            <w:r w:rsidRPr="003C4D08">
              <w:rPr>
                <w:rFonts w:ascii="Times New Roman" w:hAnsi="Times New Roman" w:cs="Times New Roman"/>
                <w:lang w:val="en-US"/>
              </w:rPr>
              <w:t>Response</w:t>
            </w:r>
          </w:p>
        </w:tc>
      </w:tr>
      <w:tr w:rsidR="003C4D08" w:rsidRPr="003C4D08" w14:paraId="5E17E946" w14:textId="77777777" w:rsidTr="003C4D08">
        <w:tc>
          <w:tcPr>
            <w:tcW w:w="704" w:type="dxa"/>
          </w:tcPr>
          <w:p w14:paraId="5058498E" w14:textId="72230E4C" w:rsidR="003C4D08" w:rsidRPr="003C4D08" w:rsidRDefault="003C4D08" w:rsidP="003C4D08">
            <w:pPr>
              <w:rPr>
                <w:rFonts w:ascii="Times New Roman" w:hAnsi="Times New Roman" w:cs="Times New Roman"/>
                <w:lang w:val="en-US"/>
              </w:rPr>
            </w:pPr>
            <w:r w:rsidRPr="003C4D08">
              <w:rPr>
                <w:rFonts w:ascii="Times New Roman" w:hAnsi="Times New Roman" w:cs="Times New Roman"/>
                <w:lang w:val="en-US"/>
              </w:rPr>
              <w:t>1.</w:t>
            </w:r>
          </w:p>
        </w:tc>
        <w:tc>
          <w:tcPr>
            <w:tcW w:w="4253" w:type="dxa"/>
          </w:tcPr>
          <w:p w14:paraId="7C7DFE17" w14:textId="7DBBCF14" w:rsidR="003C4D08" w:rsidRPr="003C4D08" w:rsidRDefault="003C4D08" w:rsidP="003C4D08">
            <w:pPr>
              <w:pStyle w:val="NormalWeb"/>
              <w:shd w:val="clear" w:color="auto" w:fill="FFFFFF"/>
              <w:spacing w:before="0" w:beforeAutospacing="0"/>
            </w:pPr>
            <w:r w:rsidRPr="003C4D08">
              <w:rPr>
                <w:rStyle w:val="Strong"/>
                <w:b w:val="0"/>
                <w:bCs w:val="0"/>
              </w:rPr>
              <w:t>Prof. Hu:</w:t>
            </w:r>
            <w:r w:rsidRPr="003C4D08">
              <w:rPr>
                <w:rStyle w:val="Strong"/>
              </w:rPr>
              <w:t> </w:t>
            </w:r>
            <w:r w:rsidRPr="003C4D08">
              <w:t>"For comparison table, please add the conclusions of these two papers. Do you believe the conclusions?"</w:t>
            </w:r>
          </w:p>
          <w:p w14:paraId="660AB183" w14:textId="77777777" w:rsidR="003C4D08" w:rsidRPr="003C4D08" w:rsidRDefault="003C4D08" w:rsidP="003C4D08">
            <w:pPr>
              <w:rPr>
                <w:rFonts w:ascii="Times New Roman" w:hAnsi="Times New Roman" w:cs="Times New Roman"/>
                <w:lang w:val="en-US"/>
              </w:rPr>
            </w:pPr>
          </w:p>
        </w:tc>
        <w:tc>
          <w:tcPr>
            <w:tcW w:w="4819" w:type="dxa"/>
          </w:tcPr>
          <w:p w14:paraId="4A5296F0" w14:textId="77777777" w:rsidR="003C4D08" w:rsidRPr="003C4D08" w:rsidRDefault="003C4D08" w:rsidP="003C4D08">
            <w:pPr>
              <w:spacing w:before="100" w:beforeAutospacing="1" w:after="100" w:afterAutospacing="1"/>
              <w:rPr>
                <w:rFonts w:ascii="Times New Roman" w:hAnsi="Times New Roman" w:cs="Times New Roman"/>
              </w:rPr>
            </w:pPr>
            <w:r w:rsidRPr="003C4D08">
              <w:rPr>
                <w:rFonts w:ascii="Times New Roman" w:hAnsi="Times New Roman" w:cs="Times New Roman"/>
              </w:rPr>
              <w:t>Thank you for the comment, Professor Hu. I will add the conclusions of these two papers.</w:t>
            </w:r>
          </w:p>
          <w:p w14:paraId="5D754AD4" w14:textId="77777777" w:rsidR="003C4D08" w:rsidRPr="003C4D08" w:rsidRDefault="003C4D08" w:rsidP="003C4D08">
            <w:pPr>
              <w:spacing w:before="100" w:beforeAutospacing="1" w:after="100" w:afterAutospacing="1"/>
              <w:rPr>
                <w:rFonts w:ascii="Times New Roman" w:hAnsi="Times New Roman" w:cs="Times New Roman"/>
              </w:rPr>
            </w:pPr>
            <w:r w:rsidRPr="003C4D08">
              <w:rPr>
                <w:rFonts w:ascii="Times New Roman" w:hAnsi="Times New Roman" w:cs="Times New Roman"/>
              </w:rPr>
              <w:t xml:space="preserve">Regarding the conclusion of the first study, it examined the effectiveness of </w:t>
            </w:r>
            <w:proofErr w:type="spellStart"/>
            <w:r w:rsidRPr="003C4D08">
              <w:rPr>
                <w:rFonts w:ascii="Times New Roman" w:hAnsi="Times New Roman" w:cs="Times New Roman"/>
              </w:rPr>
              <w:t>bedaquiline</w:t>
            </w:r>
            <w:proofErr w:type="spellEnd"/>
            <w:r w:rsidRPr="003C4D08">
              <w:rPr>
                <w:rFonts w:ascii="Times New Roman" w:hAnsi="Times New Roman" w:cs="Times New Roman"/>
              </w:rPr>
              <w:t xml:space="preserve"> use beyond six months in patients with MDR-TB using a target trial emulation approach. I believe this study design is particularly robust, as it employed data cloning to prevent immortal time bias and applied IPTW (Inverse Probability of Treatment Weighting) to adjust for potential confounding. Therefore, I consider the findings to be reliable. Moreover, the study also compared its results with those from a naïve analysis, further strengthening the credibility of its conclusions.</w:t>
            </w:r>
          </w:p>
          <w:p w14:paraId="4348E221" w14:textId="07A46F68" w:rsidR="003C4D08" w:rsidRPr="003C4D08" w:rsidRDefault="003C4D08" w:rsidP="003C4D08">
            <w:pPr>
              <w:rPr>
                <w:rFonts w:ascii="Times New Roman" w:hAnsi="Times New Roman" w:cs="Times New Roman"/>
                <w:lang w:val="en-US"/>
              </w:rPr>
            </w:pPr>
          </w:p>
        </w:tc>
      </w:tr>
      <w:tr w:rsidR="003C4D08" w:rsidRPr="003C4D08" w14:paraId="44B5EFC0" w14:textId="77777777" w:rsidTr="003C4D08">
        <w:tc>
          <w:tcPr>
            <w:tcW w:w="704" w:type="dxa"/>
          </w:tcPr>
          <w:p w14:paraId="565D01BD" w14:textId="28F2E739" w:rsidR="003C4D08" w:rsidRPr="003C4D08" w:rsidRDefault="003C4D08" w:rsidP="003C4D08">
            <w:pPr>
              <w:rPr>
                <w:rFonts w:ascii="Times New Roman" w:hAnsi="Times New Roman" w:cs="Times New Roman"/>
                <w:lang w:val="en-US"/>
              </w:rPr>
            </w:pPr>
            <w:r w:rsidRPr="003C4D08">
              <w:rPr>
                <w:rFonts w:ascii="Times New Roman" w:hAnsi="Times New Roman" w:cs="Times New Roman"/>
                <w:lang w:val="en-US"/>
              </w:rPr>
              <w:t xml:space="preserve">2. </w:t>
            </w:r>
          </w:p>
        </w:tc>
        <w:tc>
          <w:tcPr>
            <w:tcW w:w="4253" w:type="dxa"/>
          </w:tcPr>
          <w:p w14:paraId="49188B4C" w14:textId="3DE5D073" w:rsidR="003C4D08" w:rsidRPr="003C4D08" w:rsidRDefault="003C4D08" w:rsidP="003C4D08">
            <w:pPr>
              <w:rPr>
                <w:rFonts w:ascii="Times New Roman" w:hAnsi="Times New Roman" w:cs="Times New Roman"/>
                <w:lang w:val="en-US"/>
              </w:rPr>
            </w:pPr>
            <w:r w:rsidRPr="003C4D08">
              <w:rPr>
                <w:rFonts w:ascii="Times New Roman" w:eastAsia="Microsoft JhengHei" w:hAnsi="Times New Roman" w:cs="Times New Roman"/>
                <w:color w:val="000000"/>
                <w:position w:val="1"/>
                <w:lang w:val="en-US"/>
              </w:rPr>
              <w:t xml:space="preserve">Chiu- Wen </w:t>
            </w:r>
            <w:proofErr w:type="gramStart"/>
            <w:r w:rsidRPr="003C4D08">
              <w:rPr>
                <w:rFonts w:ascii="Times New Roman" w:eastAsia="Microsoft JhengHei" w:hAnsi="Times New Roman" w:cs="Times New Roman"/>
                <w:color w:val="000000"/>
                <w:position w:val="1"/>
                <w:lang w:val="en-US"/>
              </w:rPr>
              <w:t xml:space="preserve">Chang </w:t>
            </w:r>
            <w:r w:rsidRPr="003C4D08">
              <w:rPr>
                <w:rFonts w:ascii="Times New Roman" w:eastAsia="Microsoft JhengHei" w:hAnsi="Times New Roman" w:cs="Times New Roman"/>
                <w:color w:val="000000"/>
                <w:position w:val="1"/>
                <w:lang w:val="en-US"/>
              </w:rPr>
              <w:t>:</w:t>
            </w:r>
            <w:proofErr w:type="gramEnd"/>
            <w:r>
              <w:rPr>
                <w:rFonts w:ascii="Calibri" w:eastAsia="Microsoft JhengHei" w:hAnsi="Calibri" w:cs="Calibri"/>
                <w:color w:val="000000"/>
                <w:position w:val="1"/>
                <w:sz w:val="64"/>
                <w:szCs w:val="64"/>
                <w:lang w:val="en-US"/>
              </w:rPr>
              <w:t xml:space="preserve"> </w:t>
            </w:r>
            <w:r w:rsidRPr="003C4D08">
              <w:rPr>
                <w:rFonts w:ascii="Times New Roman" w:eastAsiaTheme="minorEastAsia" w:hAnsi="Times New Roman" w:cs="Times New Roman"/>
                <w:color w:val="000000" w:themeColor="text1"/>
                <w:kern w:val="24"/>
                <w:lang w:val="en-US"/>
              </w:rPr>
              <w:t xml:space="preserve">In this study, it estimated a small decrease in the probability of successful </w:t>
            </w:r>
            <w:r w:rsidRPr="003C4D08">
              <w:rPr>
                <w:rFonts w:ascii="Times New Roman" w:eastAsiaTheme="minorEastAsia" w:hAnsi="Times New Roman" w:cs="Times New Roman"/>
                <w:b/>
                <w:bCs/>
                <w:color w:val="000000" w:themeColor="text1"/>
                <w:kern w:val="24"/>
                <w:lang w:val="en-US"/>
              </w:rPr>
              <w:t>treatment for 7–11 months</w:t>
            </w:r>
            <w:r w:rsidRPr="003C4D08">
              <w:rPr>
                <w:rFonts w:ascii="Times New Roman" w:eastAsiaTheme="minorEastAsia" w:hAnsi="Times New Roman" w:cs="Times New Roman"/>
                <w:color w:val="000000" w:themeColor="text1"/>
                <w:kern w:val="24"/>
                <w:lang w:val="en-US"/>
              </w:rPr>
              <w:t xml:space="preserve"> compared with 6 months of BDQ. Do you </w:t>
            </w:r>
            <w:proofErr w:type="gramStart"/>
            <w:r w:rsidRPr="003C4D08">
              <w:rPr>
                <w:rFonts w:ascii="Times New Roman" w:eastAsiaTheme="minorEastAsia" w:hAnsi="Times New Roman" w:cs="Times New Roman"/>
                <w:color w:val="000000" w:themeColor="text1"/>
                <w:kern w:val="24"/>
                <w:lang w:val="en-US"/>
              </w:rPr>
              <w:t>think  there</w:t>
            </w:r>
            <w:proofErr w:type="gramEnd"/>
            <w:r w:rsidRPr="003C4D08">
              <w:rPr>
                <w:rFonts w:ascii="Times New Roman" w:eastAsiaTheme="minorEastAsia" w:hAnsi="Times New Roman" w:cs="Times New Roman"/>
                <w:color w:val="000000" w:themeColor="text1"/>
                <w:kern w:val="24"/>
                <w:lang w:val="en-US"/>
              </w:rPr>
              <w:t xml:space="preserve"> is </w:t>
            </w:r>
            <w:r w:rsidRPr="003C4D08">
              <w:rPr>
                <w:rFonts w:ascii="Times New Roman" w:eastAsiaTheme="minorEastAsia" w:hAnsi="Times New Roman" w:cs="Times New Roman"/>
                <w:b/>
                <w:bCs/>
                <w:color w:val="000000" w:themeColor="text1"/>
                <w:kern w:val="24"/>
                <w:lang w:val="en-US"/>
              </w:rPr>
              <w:t xml:space="preserve">misclassification </w:t>
            </w:r>
            <w:r w:rsidRPr="003C4D08">
              <w:rPr>
                <w:rFonts w:ascii="Times New Roman" w:eastAsiaTheme="minorEastAsia" w:hAnsi="Times New Roman" w:cs="Times New Roman"/>
                <w:color w:val="000000" w:themeColor="text1"/>
                <w:kern w:val="24"/>
                <w:lang w:val="en-US"/>
              </w:rPr>
              <w:t xml:space="preserve">of treatment? How do you explain the impact? </w:t>
            </w:r>
            <w:r>
              <w:rPr>
                <w:rFonts w:ascii="Times New Roman" w:eastAsiaTheme="minorEastAsia" w:hAnsi="Times New Roman" w:cs="Times New Roman"/>
                <w:color w:val="000000" w:themeColor="text1"/>
                <w:kern w:val="24"/>
                <w:lang w:val="en-US"/>
              </w:rPr>
              <w:t>(Paper 1)</w:t>
            </w:r>
          </w:p>
        </w:tc>
        <w:tc>
          <w:tcPr>
            <w:tcW w:w="4819" w:type="dxa"/>
          </w:tcPr>
          <w:p w14:paraId="143B2ABC" w14:textId="77777777" w:rsidR="00183872" w:rsidRPr="00183872" w:rsidRDefault="003C4D08" w:rsidP="00183872">
            <w:pPr>
              <w:spacing w:line="216" w:lineRule="auto"/>
              <w:rPr>
                <w:rFonts w:ascii="Times New Roman" w:eastAsiaTheme="minorEastAsia" w:hAnsi="Times New Roman" w:cs="Times New Roman"/>
                <w:color w:val="000000" w:themeColor="text1"/>
                <w:kern w:val="24"/>
              </w:rPr>
            </w:pPr>
            <w:r w:rsidRPr="00183872">
              <w:rPr>
                <w:rFonts w:ascii="Times New Roman" w:eastAsiaTheme="minorEastAsia" w:hAnsi="Times New Roman" w:cs="Times New Roman"/>
                <w:color w:val="000000" w:themeColor="text1"/>
                <w:kern w:val="24"/>
              </w:rPr>
              <w:t xml:space="preserve">I agree that misclassification and immortal time bias is a potential issue in this study. </w:t>
            </w:r>
            <w:r w:rsidRPr="00183872">
              <w:rPr>
                <w:rFonts w:ascii="Times New Roman" w:eastAsiaTheme="minorEastAsia" w:hAnsi="Times New Roman" w:cs="Times New Roman"/>
                <w:b/>
                <w:bCs/>
                <w:color w:val="000000" w:themeColor="text1"/>
                <w:kern w:val="24"/>
              </w:rPr>
              <w:t xml:space="preserve">With an 89% adherence rate, around 11% </w:t>
            </w:r>
            <w:r w:rsidRPr="00183872">
              <w:rPr>
                <w:rFonts w:ascii="Times New Roman" w:eastAsiaTheme="minorEastAsia" w:hAnsi="Times New Roman" w:cs="Times New Roman"/>
                <w:color w:val="000000" w:themeColor="text1"/>
                <w:kern w:val="24"/>
              </w:rPr>
              <w:t xml:space="preserve">of patients did not fully comply with the treatment protocol, which could lead to misclassification bias. </w:t>
            </w:r>
          </w:p>
          <w:p w14:paraId="738D3854" w14:textId="77777777" w:rsidR="00183872" w:rsidRPr="00183872" w:rsidRDefault="00183872" w:rsidP="00183872">
            <w:pPr>
              <w:spacing w:line="216" w:lineRule="auto"/>
              <w:rPr>
                <w:rFonts w:ascii="Times New Roman" w:eastAsiaTheme="minorEastAsia" w:hAnsi="Times New Roman" w:cs="Times New Roman"/>
                <w:color w:val="000000" w:themeColor="text1"/>
                <w:kern w:val="24"/>
              </w:rPr>
            </w:pPr>
          </w:p>
          <w:p w14:paraId="1AB049D6" w14:textId="3CE335A1" w:rsidR="003C4D08" w:rsidRPr="00183872" w:rsidRDefault="003C4D08" w:rsidP="00183872">
            <w:pPr>
              <w:spacing w:line="216" w:lineRule="auto"/>
              <w:rPr>
                <w:rFonts w:ascii="Times New Roman" w:hAnsi="Times New Roman" w:cs="Times New Roman"/>
              </w:rPr>
            </w:pPr>
            <w:r w:rsidRPr="00183872">
              <w:rPr>
                <w:rFonts w:ascii="Times New Roman" w:eastAsiaTheme="minorEastAsia" w:hAnsi="Times New Roman" w:cs="Times New Roman"/>
                <w:color w:val="000000" w:themeColor="text1"/>
                <w:kern w:val="24"/>
              </w:rPr>
              <w:t xml:space="preserve">However, the study try to avoid immortal time bias by using statistical approach such as  </w:t>
            </w:r>
            <w:r w:rsidRPr="00183872">
              <w:rPr>
                <w:rFonts w:ascii="Times New Roman" w:eastAsiaTheme="minorEastAsia" w:hAnsi="Times New Roman" w:cs="Times New Roman"/>
                <w:b/>
                <w:bCs/>
                <w:color w:val="000000" w:themeColor="text1"/>
                <w:kern w:val="24"/>
              </w:rPr>
              <w:t xml:space="preserve">cloning and censoring, </w:t>
            </w:r>
            <w:r w:rsidRPr="00183872">
              <w:rPr>
                <w:rFonts w:ascii="Times New Roman" w:eastAsiaTheme="minorEastAsia" w:hAnsi="Times New Roman" w:cs="Times New Roman"/>
                <w:color w:val="000000" w:themeColor="text1"/>
                <w:kern w:val="24"/>
              </w:rPr>
              <w:t xml:space="preserve">to provide more accurate comparison between treatment durations. As a result, the potential impact of misclassification </w:t>
            </w:r>
            <w:r w:rsidRPr="00183872">
              <w:rPr>
                <w:rFonts w:ascii="Times New Roman" w:eastAsiaTheme="minorEastAsia" w:hAnsi="Times New Roman" w:cs="Times New Roman"/>
                <w:b/>
                <w:bCs/>
                <w:color w:val="000000" w:themeColor="text1"/>
                <w:kern w:val="24"/>
              </w:rPr>
              <w:t>is minimized,</w:t>
            </w:r>
            <w:r w:rsidRPr="00183872">
              <w:rPr>
                <w:rFonts w:ascii="Times New Roman" w:eastAsiaTheme="minorEastAsia" w:hAnsi="Times New Roman" w:cs="Times New Roman"/>
                <w:color w:val="000000" w:themeColor="text1"/>
                <w:kern w:val="24"/>
              </w:rPr>
              <w:t xml:space="preserve"> reducing its influence on the study’s overall conclusions</w:t>
            </w:r>
          </w:p>
          <w:p w14:paraId="4DA4C211" w14:textId="77777777" w:rsidR="003C4D08" w:rsidRPr="003C4D08" w:rsidRDefault="003C4D08" w:rsidP="003C4D08">
            <w:pPr>
              <w:rPr>
                <w:rFonts w:ascii="Times New Roman" w:hAnsi="Times New Roman" w:cs="Times New Roman"/>
                <w:lang w:val="en-US"/>
              </w:rPr>
            </w:pPr>
          </w:p>
        </w:tc>
      </w:tr>
      <w:tr w:rsidR="003C4D08" w:rsidRPr="003C4D08" w14:paraId="38627974" w14:textId="77777777" w:rsidTr="003C4D08">
        <w:tc>
          <w:tcPr>
            <w:tcW w:w="704" w:type="dxa"/>
          </w:tcPr>
          <w:p w14:paraId="12BB6FF8" w14:textId="51E8CA2E" w:rsidR="003C4D08" w:rsidRPr="003C4D08" w:rsidRDefault="003C4D08" w:rsidP="003C4D08">
            <w:pPr>
              <w:rPr>
                <w:rFonts w:ascii="Times New Roman" w:hAnsi="Times New Roman" w:cs="Times New Roman"/>
                <w:lang w:val="en-US"/>
              </w:rPr>
            </w:pPr>
            <w:r>
              <w:rPr>
                <w:rFonts w:ascii="Times New Roman" w:hAnsi="Times New Roman" w:cs="Times New Roman"/>
                <w:lang w:val="en-US"/>
              </w:rPr>
              <w:t>3.</w:t>
            </w:r>
          </w:p>
        </w:tc>
        <w:tc>
          <w:tcPr>
            <w:tcW w:w="4253" w:type="dxa"/>
          </w:tcPr>
          <w:p w14:paraId="166F8E9C" w14:textId="3D0CDF47" w:rsidR="003C4D08" w:rsidRPr="003C4D08" w:rsidRDefault="003C4D08" w:rsidP="003C4D08">
            <w:pPr>
              <w:pStyle w:val="NormalWeb"/>
              <w:spacing w:before="200" w:beforeAutospacing="0" w:after="0" w:afterAutospacing="0" w:line="216" w:lineRule="auto"/>
            </w:pPr>
            <w:r w:rsidRPr="003C4D08">
              <w:rPr>
                <w:rFonts w:eastAsiaTheme="minorEastAsia"/>
                <w:color w:val="000000" w:themeColor="text1"/>
                <w:kern w:val="24"/>
                <w:lang w:val="en-US"/>
              </w:rPr>
              <w:t>The characteristics of participants, there are 80%(n=1,181) of previous TB treatment with second-line drugs. Could it influence the results?</w:t>
            </w:r>
            <w:r>
              <w:rPr>
                <w:rFonts w:eastAsiaTheme="minorEastAsia"/>
                <w:color w:val="000000" w:themeColor="text1"/>
                <w:kern w:val="24"/>
                <w:lang w:val="en-US"/>
              </w:rPr>
              <w:t xml:space="preserve"> (Paper 1)</w:t>
            </w:r>
          </w:p>
          <w:p w14:paraId="3BC3410E" w14:textId="77777777" w:rsidR="003C4D08" w:rsidRPr="003C4D08" w:rsidRDefault="003C4D08" w:rsidP="003C4D08">
            <w:pPr>
              <w:rPr>
                <w:rFonts w:ascii="Times New Roman" w:hAnsi="Times New Roman" w:cs="Times New Roman"/>
                <w:lang w:val="en-US"/>
              </w:rPr>
            </w:pPr>
          </w:p>
        </w:tc>
        <w:tc>
          <w:tcPr>
            <w:tcW w:w="4819" w:type="dxa"/>
          </w:tcPr>
          <w:p w14:paraId="3BB404B8" w14:textId="77777777" w:rsidR="00183872" w:rsidRPr="00183872" w:rsidRDefault="00183872" w:rsidP="00183872">
            <w:pPr>
              <w:pStyle w:val="NormalWeb"/>
              <w:spacing w:before="200" w:beforeAutospacing="0" w:after="0" w:afterAutospacing="0" w:line="216" w:lineRule="auto"/>
            </w:pPr>
            <w:r w:rsidRPr="00183872">
              <w:rPr>
                <w:rFonts w:eastAsiaTheme="minorEastAsia"/>
                <w:color w:val="000000" w:themeColor="text1"/>
                <w:kern w:val="24"/>
              </w:rPr>
              <w:t>The high proportion of previously treated patients could influence the results, particularly by lowering success rates due to resistance and disease severity. However, the study applied statistical</w:t>
            </w:r>
            <w:r w:rsidRPr="00183872">
              <w:rPr>
                <w:rFonts w:eastAsiaTheme="minorEastAsia"/>
                <w:b/>
                <w:bCs/>
                <w:color w:val="156082" w:themeColor="accent1"/>
                <w:kern w:val="24"/>
              </w:rPr>
              <w:t xml:space="preserve"> </w:t>
            </w:r>
            <w:r w:rsidRPr="00183872">
              <w:rPr>
                <w:rFonts w:eastAsiaTheme="minorEastAsia"/>
                <w:b/>
                <w:bCs/>
                <w:color w:val="000000" w:themeColor="text1"/>
                <w:kern w:val="24"/>
              </w:rPr>
              <w:t>adjustments (IP Weighting) to control for confounding.</w:t>
            </w:r>
            <w:r w:rsidRPr="00183872">
              <w:rPr>
                <w:rFonts w:eastAsiaTheme="minorEastAsia"/>
                <w:color w:val="000000" w:themeColor="text1"/>
                <w:kern w:val="24"/>
              </w:rPr>
              <w:t xml:space="preserve"> </w:t>
            </w:r>
            <w:r w:rsidRPr="00183872">
              <w:rPr>
                <w:rFonts w:eastAsiaTheme="minorEastAsia"/>
                <w:color w:val="000000" w:themeColor="text1"/>
                <w:kern w:val="24"/>
              </w:rPr>
              <w:t>I believe it will reduce this potential bias and minimize the effect to outcome</w:t>
            </w:r>
          </w:p>
          <w:p w14:paraId="4CA38642" w14:textId="77777777" w:rsidR="003C4D08" w:rsidRPr="00183872" w:rsidRDefault="003C4D08" w:rsidP="003C4D08">
            <w:pPr>
              <w:rPr>
                <w:rFonts w:ascii="Times New Roman" w:hAnsi="Times New Roman" w:cs="Times New Roman"/>
                <w:lang w:val="en-US"/>
              </w:rPr>
            </w:pPr>
          </w:p>
        </w:tc>
      </w:tr>
      <w:tr w:rsidR="003C4D08" w:rsidRPr="003C4D08" w14:paraId="7308887B" w14:textId="77777777" w:rsidTr="003C4D08">
        <w:tc>
          <w:tcPr>
            <w:tcW w:w="704" w:type="dxa"/>
          </w:tcPr>
          <w:p w14:paraId="34DA2B10" w14:textId="00A3B979" w:rsidR="003C4D08" w:rsidRPr="003C4D08" w:rsidRDefault="003C4D08" w:rsidP="003C4D08">
            <w:pPr>
              <w:rPr>
                <w:rFonts w:ascii="Times New Roman" w:hAnsi="Times New Roman" w:cs="Times New Roman"/>
                <w:lang w:val="en-US"/>
              </w:rPr>
            </w:pPr>
            <w:r>
              <w:rPr>
                <w:rFonts w:ascii="Times New Roman" w:hAnsi="Times New Roman" w:cs="Times New Roman"/>
                <w:lang w:val="en-US"/>
              </w:rPr>
              <w:t>4.</w:t>
            </w:r>
          </w:p>
        </w:tc>
        <w:tc>
          <w:tcPr>
            <w:tcW w:w="4253" w:type="dxa"/>
          </w:tcPr>
          <w:p w14:paraId="30B2C913" w14:textId="1E5E9471" w:rsidR="003C4D08" w:rsidRPr="003C4D08" w:rsidRDefault="003C4D08" w:rsidP="003C4D08">
            <w:pPr>
              <w:rPr>
                <w:rFonts w:ascii="Times New Roman" w:hAnsi="Times New Roman" w:cs="Times New Roman"/>
                <w:lang w:val="en-US"/>
              </w:rPr>
            </w:pPr>
            <w:r w:rsidRPr="003C4D08">
              <w:rPr>
                <w:rFonts w:ascii="Times New Roman" w:eastAsiaTheme="minorEastAsia" w:hAnsi="Times New Roman" w:cs="Times New Roman"/>
                <w:color w:val="000000" w:themeColor="text1"/>
                <w:kern w:val="24"/>
                <w:lang w:val="en-US"/>
              </w:rPr>
              <w:t>There are 10%(n=149) of missing with extensive disease. Could it influence the results?</w:t>
            </w:r>
            <w:r w:rsidRPr="003C4D08">
              <w:rPr>
                <w:rFonts w:ascii="Times New Roman" w:eastAsiaTheme="minorEastAsia" w:hAnsi="Times New Roman" w:cs="Times New Roman"/>
                <w:color w:val="000000" w:themeColor="text1"/>
                <w:kern w:val="24"/>
                <w:lang w:val="en-US"/>
              </w:rPr>
              <w:t xml:space="preserve"> (Paper 1)</w:t>
            </w:r>
          </w:p>
        </w:tc>
        <w:tc>
          <w:tcPr>
            <w:tcW w:w="4819" w:type="dxa"/>
          </w:tcPr>
          <w:p w14:paraId="33AD2990" w14:textId="77777777" w:rsidR="00183872" w:rsidRDefault="00183872" w:rsidP="00183872">
            <w:pPr>
              <w:spacing w:line="216" w:lineRule="auto"/>
              <w:rPr>
                <w:rFonts w:ascii="Times New Roman" w:eastAsiaTheme="minorEastAsia" w:hAnsi="Times New Roman" w:cs="Times New Roman"/>
                <w:color w:val="000000" w:themeColor="text1"/>
                <w:kern w:val="24"/>
              </w:rPr>
            </w:pPr>
            <w:r w:rsidRPr="00183872">
              <w:rPr>
                <w:rFonts w:ascii="Times New Roman" w:eastAsiaTheme="minorEastAsia" w:hAnsi="Times New Roman" w:cs="Times New Roman"/>
                <w:color w:val="000000" w:themeColor="text1"/>
                <w:kern w:val="24"/>
              </w:rPr>
              <w:t xml:space="preserve">The 10% missing data on extensive disease could influence the results, particularly by </w:t>
            </w:r>
            <w:r w:rsidRPr="00183872">
              <w:rPr>
                <w:rFonts w:ascii="Times New Roman" w:eastAsiaTheme="minorEastAsia" w:hAnsi="Times New Roman" w:cs="Times New Roman"/>
                <w:color w:val="000000" w:themeColor="text1"/>
                <w:kern w:val="24"/>
              </w:rPr>
              <w:lastRenderedPageBreak/>
              <w:t>underestimating disease severity and potentially biasing BDQ duration comparisons.</w:t>
            </w:r>
          </w:p>
          <w:p w14:paraId="3908C1F2" w14:textId="77777777" w:rsidR="00183872" w:rsidRPr="00183872" w:rsidRDefault="00183872" w:rsidP="00183872">
            <w:pPr>
              <w:spacing w:line="216" w:lineRule="auto"/>
              <w:rPr>
                <w:rFonts w:ascii="Times New Roman" w:hAnsi="Times New Roman" w:cs="Times New Roman"/>
              </w:rPr>
            </w:pPr>
          </w:p>
          <w:p w14:paraId="15204C69" w14:textId="77777777" w:rsidR="00183872" w:rsidRPr="00183872" w:rsidRDefault="00183872" w:rsidP="00183872">
            <w:pPr>
              <w:spacing w:line="216" w:lineRule="auto"/>
              <w:rPr>
                <w:rFonts w:ascii="Times New Roman" w:hAnsi="Times New Roman" w:cs="Times New Roman"/>
              </w:rPr>
            </w:pPr>
            <w:r w:rsidRPr="00183872">
              <w:rPr>
                <w:rFonts w:ascii="Times New Roman" w:eastAsiaTheme="minorEastAsia" w:hAnsi="Times New Roman" w:cs="Times New Roman"/>
                <w:color w:val="000000" w:themeColor="text1"/>
                <w:kern w:val="24"/>
              </w:rPr>
              <w:t xml:space="preserve">However, in this study the authors have adjusted this problem using IP weighting to control confounding and make it balance comparison between three group. So, the impact to outcome will be </w:t>
            </w:r>
            <w:proofErr w:type="spellStart"/>
            <w:r w:rsidRPr="00183872">
              <w:rPr>
                <w:rFonts w:ascii="Times New Roman" w:eastAsiaTheme="minorEastAsia" w:hAnsi="Times New Roman" w:cs="Times New Roman"/>
                <w:color w:val="000000" w:themeColor="text1"/>
                <w:kern w:val="24"/>
              </w:rPr>
              <w:t>minimial</w:t>
            </w:r>
            <w:proofErr w:type="spellEnd"/>
            <w:r w:rsidRPr="00183872">
              <w:rPr>
                <w:rFonts w:ascii="Times New Roman" w:eastAsiaTheme="minorEastAsia" w:hAnsi="Times New Roman" w:cs="Times New Roman"/>
                <w:color w:val="000000" w:themeColor="text1"/>
                <w:kern w:val="24"/>
              </w:rPr>
              <w:t>.</w:t>
            </w:r>
          </w:p>
          <w:p w14:paraId="55D8A396" w14:textId="77777777" w:rsidR="003C4D08" w:rsidRPr="00183872" w:rsidRDefault="003C4D08" w:rsidP="00183872">
            <w:pPr>
              <w:rPr>
                <w:rFonts w:ascii="Times New Roman" w:hAnsi="Times New Roman" w:cs="Times New Roman"/>
                <w:lang w:val="en-US"/>
              </w:rPr>
            </w:pPr>
          </w:p>
        </w:tc>
      </w:tr>
      <w:tr w:rsidR="003C4D08" w:rsidRPr="003C4D08" w14:paraId="0B9D4A13" w14:textId="77777777" w:rsidTr="003C4D08">
        <w:tc>
          <w:tcPr>
            <w:tcW w:w="704" w:type="dxa"/>
          </w:tcPr>
          <w:p w14:paraId="2968D278" w14:textId="5AAA933C" w:rsidR="003C4D08" w:rsidRPr="00183872" w:rsidRDefault="00183872" w:rsidP="003C4D08">
            <w:pPr>
              <w:rPr>
                <w:rFonts w:ascii="Times New Roman" w:hAnsi="Times New Roman" w:cs="Times New Roman"/>
                <w:lang w:val="en-US"/>
              </w:rPr>
            </w:pPr>
            <w:r w:rsidRPr="00183872">
              <w:rPr>
                <w:rFonts w:ascii="Times New Roman" w:hAnsi="Times New Roman" w:cs="Times New Roman"/>
                <w:lang w:val="en-US"/>
              </w:rPr>
              <w:lastRenderedPageBreak/>
              <w:t>5.</w:t>
            </w:r>
          </w:p>
        </w:tc>
        <w:tc>
          <w:tcPr>
            <w:tcW w:w="4253" w:type="dxa"/>
          </w:tcPr>
          <w:p w14:paraId="24CC7A7E" w14:textId="77777777" w:rsidR="00183872" w:rsidRPr="00183872" w:rsidRDefault="00183872" w:rsidP="00183872">
            <w:pPr>
              <w:pStyle w:val="NormalWeb"/>
              <w:spacing w:before="200" w:beforeAutospacing="0" w:after="0" w:afterAutospacing="0" w:line="216" w:lineRule="auto"/>
              <w:jc w:val="both"/>
            </w:pPr>
            <w:r w:rsidRPr="00183872">
              <w:rPr>
                <w:b/>
                <w:bCs/>
                <w:lang w:val="en-US"/>
              </w:rPr>
              <w:t>Takeshi:</w:t>
            </w:r>
            <w:r w:rsidRPr="00183872">
              <w:rPr>
                <w:lang w:val="en-US"/>
              </w:rPr>
              <w:t xml:space="preserve"> </w:t>
            </w:r>
            <w:r w:rsidRPr="00183872">
              <w:rPr>
                <w:rFonts w:eastAsiaTheme="minorEastAsia"/>
                <w:color w:val="000000" w:themeColor="text1"/>
                <w:kern w:val="24"/>
                <w:lang w:val="en-US"/>
              </w:rPr>
              <w:t>Low coverage in the U.K.</w:t>
            </w:r>
          </w:p>
          <w:p w14:paraId="043F75C4" w14:textId="77777777" w:rsidR="00183872" w:rsidRPr="00183872" w:rsidRDefault="00183872" w:rsidP="00183872">
            <w:pPr>
              <w:pStyle w:val="ListParagraph"/>
              <w:spacing w:line="216" w:lineRule="auto"/>
              <w:ind w:left="0"/>
              <w:rPr>
                <w:rFonts w:eastAsiaTheme="minorEastAsia"/>
                <w:color w:val="000000" w:themeColor="text1"/>
                <w:kern w:val="24"/>
                <w:lang w:val="en-US"/>
              </w:rPr>
            </w:pPr>
            <w:r w:rsidRPr="00183872">
              <w:rPr>
                <w:rFonts w:eastAsiaTheme="minorEastAsia"/>
                <w:color w:val="000000" w:themeColor="text1"/>
                <w:kern w:val="24"/>
                <w:lang w:val="en-US"/>
              </w:rPr>
              <w:t xml:space="preserve">Why is the coverage in the U.K. so low (10%) compared to other countries/regions, which reported data for 80–100% of patients treated with </w:t>
            </w:r>
            <w:proofErr w:type="spellStart"/>
            <w:r w:rsidRPr="00183872">
              <w:rPr>
                <w:rFonts w:eastAsiaTheme="minorEastAsia"/>
                <w:color w:val="000000" w:themeColor="text1"/>
                <w:kern w:val="24"/>
                <w:lang w:val="en-US"/>
              </w:rPr>
              <w:t>bedaquiline</w:t>
            </w:r>
            <w:proofErr w:type="spellEnd"/>
            <w:r w:rsidRPr="00183872">
              <w:rPr>
                <w:rFonts w:eastAsiaTheme="minorEastAsia"/>
                <w:color w:val="000000" w:themeColor="text1"/>
                <w:kern w:val="24"/>
                <w:lang w:val="en-US"/>
              </w:rPr>
              <w:t xml:space="preserve"> and </w:t>
            </w:r>
            <w:proofErr w:type="spellStart"/>
            <w:r w:rsidRPr="00183872">
              <w:rPr>
                <w:rFonts w:eastAsiaTheme="minorEastAsia"/>
                <w:color w:val="000000" w:themeColor="text1"/>
                <w:kern w:val="24"/>
                <w:lang w:val="en-US"/>
              </w:rPr>
              <w:t>delamanid</w:t>
            </w:r>
            <w:proofErr w:type="spellEnd"/>
            <w:r w:rsidRPr="00183872">
              <w:rPr>
                <w:rFonts w:eastAsiaTheme="minorEastAsia"/>
                <w:color w:val="000000" w:themeColor="text1"/>
                <w:kern w:val="24"/>
                <w:lang w:val="en-US"/>
              </w:rPr>
              <w:t xml:space="preserve">? </w:t>
            </w:r>
          </w:p>
          <w:p w14:paraId="325DAB3D" w14:textId="77777777" w:rsidR="00183872" w:rsidRPr="00183872" w:rsidRDefault="00183872" w:rsidP="00183872">
            <w:pPr>
              <w:pStyle w:val="ListParagraph"/>
              <w:spacing w:line="216" w:lineRule="auto"/>
              <w:ind w:left="0"/>
              <w:rPr>
                <w:rFonts w:eastAsiaTheme="minorEastAsia"/>
                <w:color w:val="000000" w:themeColor="text1"/>
                <w:kern w:val="24"/>
                <w:lang w:val="en-US"/>
              </w:rPr>
            </w:pPr>
          </w:p>
          <w:p w14:paraId="3AC6DA6C" w14:textId="77777777" w:rsidR="00183872" w:rsidRPr="00183872" w:rsidRDefault="00183872" w:rsidP="00183872">
            <w:pPr>
              <w:pStyle w:val="ListParagraph"/>
              <w:spacing w:line="216" w:lineRule="auto"/>
              <w:ind w:left="0"/>
              <w:rPr>
                <w:rFonts w:eastAsiaTheme="minorEastAsia"/>
                <w:color w:val="000000" w:themeColor="text1"/>
                <w:kern w:val="24"/>
                <w:lang w:val="en-US"/>
              </w:rPr>
            </w:pPr>
          </w:p>
          <w:p w14:paraId="5383EC6B" w14:textId="4E4EA96F" w:rsidR="00183872" w:rsidRPr="00183872" w:rsidRDefault="00183872" w:rsidP="00183872">
            <w:pPr>
              <w:pStyle w:val="ListParagraph"/>
              <w:spacing w:line="216" w:lineRule="auto"/>
              <w:ind w:left="0"/>
              <w:rPr>
                <w:color w:val="000000" w:themeColor="text1"/>
              </w:rPr>
            </w:pPr>
            <w:r w:rsidRPr="00183872">
              <w:rPr>
                <w:rFonts w:eastAsiaTheme="minorEastAsia"/>
                <w:color w:val="000000" w:themeColor="text1"/>
                <w:kern w:val="24"/>
                <w:lang w:val="en-US"/>
              </w:rPr>
              <w:t xml:space="preserve">Does the value of including U.K. data outweigh the potential risk of bias (though could be small due to small </w:t>
            </w:r>
            <w:r w:rsidRPr="00183872">
              <w:rPr>
                <w:rFonts w:eastAsiaTheme="minorEastAsia"/>
                <w:i/>
                <w:iCs/>
                <w:color w:val="000000" w:themeColor="text1"/>
                <w:kern w:val="24"/>
                <w:lang w:val="en-US"/>
              </w:rPr>
              <w:t>n</w:t>
            </w:r>
            <w:r w:rsidRPr="00183872">
              <w:rPr>
                <w:rFonts w:eastAsiaTheme="minorEastAsia"/>
                <w:color w:val="000000" w:themeColor="text1"/>
                <w:kern w:val="24"/>
                <w:lang w:val="en-US"/>
              </w:rPr>
              <w:t>) in the overall results?</w:t>
            </w:r>
          </w:p>
          <w:p w14:paraId="355EFBC5" w14:textId="0711AB01" w:rsidR="003C4D08" w:rsidRPr="00183872" w:rsidRDefault="003C4D08" w:rsidP="00183872">
            <w:pPr>
              <w:jc w:val="both"/>
              <w:rPr>
                <w:rFonts w:ascii="Times New Roman" w:hAnsi="Times New Roman" w:cs="Times New Roman"/>
                <w:lang w:val="en-US"/>
              </w:rPr>
            </w:pPr>
          </w:p>
        </w:tc>
        <w:tc>
          <w:tcPr>
            <w:tcW w:w="4819" w:type="dxa"/>
          </w:tcPr>
          <w:p w14:paraId="76D7B4E8" w14:textId="77777777" w:rsidR="00183872" w:rsidRPr="00183872" w:rsidRDefault="00183872" w:rsidP="00183872">
            <w:pPr>
              <w:spacing w:line="216" w:lineRule="auto"/>
              <w:rPr>
                <w:rFonts w:ascii="Times New Roman" w:hAnsi="Times New Roman" w:cs="Times New Roman"/>
              </w:rPr>
            </w:pPr>
            <w:r w:rsidRPr="00183872">
              <w:rPr>
                <w:rFonts w:ascii="Times New Roman" w:eastAsiaTheme="minorEastAsia" w:hAnsi="Times New Roman" w:cs="Times New Roman"/>
                <w:color w:val="000000" w:themeColor="text1"/>
                <w:kern w:val="24"/>
              </w:rPr>
              <w:t xml:space="preserve">The low UK data coverage (10%) may introduce bias due to underrepresentation, with only four cases enrolled, limiting statistical power. However, since this is a </w:t>
            </w:r>
            <w:r w:rsidRPr="00183872">
              <w:rPr>
                <w:rFonts w:ascii="Times New Roman" w:eastAsiaTheme="minorEastAsia" w:hAnsi="Times New Roman" w:cs="Times New Roman"/>
                <w:b/>
                <w:bCs/>
                <w:color w:val="000000" w:themeColor="text1"/>
                <w:kern w:val="24"/>
              </w:rPr>
              <w:t>descriptive study</w:t>
            </w:r>
            <w:r w:rsidRPr="00183872">
              <w:rPr>
                <w:rFonts w:ascii="Times New Roman" w:eastAsiaTheme="minorEastAsia" w:hAnsi="Times New Roman" w:cs="Times New Roman"/>
                <w:color w:val="000000" w:themeColor="text1"/>
                <w:kern w:val="24"/>
              </w:rPr>
              <w:t>, the researchers included UK data for geographic diversity and healthcare insights. Given the large cohort from 29 countries, the impact of this bias is minimal, with limited influence on overall conclusions.</w:t>
            </w:r>
          </w:p>
          <w:p w14:paraId="17ED748F" w14:textId="77777777" w:rsidR="003C4D08" w:rsidRPr="00183872" w:rsidRDefault="003C4D08" w:rsidP="003C4D08">
            <w:pPr>
              <w:rPr>
                <w:rFonts w:ascii="Times New Roman" w:hAnsi="Times New Roman" w:cs="Times New Roman"/>
                <w:lang w:val="en-US"/>
              </w:rPr>
            </w:pPr>
          </w:p>
        </w:tc>
      </w:tr>
      <w:tr w:rsidR="00183872" w:rsidRPr="003C4D08" w14:paraId="27BF997D" w14:textId="77777777" w:rsidTr="003C4D08">
        <w:tc>
          <w:tcPr>
            <w:tcW w:w="704" w:type="dxa"/>
          </w:tcPr>
          <w:p w14:paraId="36BC559A" w14:textId="73402B61" w:rsidR="00183872" w:rsidRDefault="00183872" w:rsidP="003C4D08">
            <w:pPr>
              <w:rPr>
                <w:rFonts w:ascii="Times New Roman" w:hAnsi="Times New Roman" w:cs="Times New Roman"/>
                <w:lang w:val="en-US"/>
              </w:rPr>
            </w:pPr>
            <w:r>
              <w:rPr>
                <w:rFonts w:ascii="Times New Roman" w:hAnsi="Times New Roman" w:cs="Times New Roman"/>
                <w:lang w:val="en-US"/>
              </w:rPr>
              <w:t>6.</w:t>
            </w:r>
          </w:p>
        </w:tc>
        <w:tc>
          <w:tcPr>
            <w:tcW w:w="4253" w:type="dxa"/>
          </w:tcPr>
          <w:p w14:paraId="45CAD53D" w14:textId="77777777" w:rsidR="00183872" w:rsidRPr="00183872" w:rsidRDefault="00183872" w:rsidP="00183872">
            <w:pPr>
              <w:pStyle w:val="NormalWeb"/>
              <w:spacing w:before="200" w:beforeAutospacing="0" w:after="0" w:afterAutospacing="0" w:line="216" w:lineRule="auto"/>
            </w:pPr>
            <w:r w:rsidRPr="00183872">
              <w:rPr>
                <w:rFonts w:eastAsiaTheme="minorEastAsia"/>
                <w:color w:val="000000" w:themeColor="text1"/>
                <w:kern w:val="24"/>
                <w:lang w:val="en-US"/>
              </w:rPr>
              <w:t>Patient-</w:t>
            </w:r>
            <w:proofErr w:type="spellStart"/>
            <w:r w:rsidRPr="00183872">
              <w:rPr>
                <w:rFonts w:eastAsiaTheme="minorEastAsia"/>
                <w:color w:val="000000" w:themeColor="text1"/>
                <w:kern w:val="24"/>
                <w:lang w:val="en-US"/>
              </w:rPr>
              <w:t>centred</w:t>
            </w:r>
            <w:proofErr w:type="spellEnd"/>
            <w:r w:rsidRPr="00183872">
              <w:rPr>
                <w:rFonts w:eastAsiaTheme="minorEastAsia"/>
                <w:color w:val="000000" w:themeColor="text1"/>
                <w:kern w:val="24"/>
                <w:lang w:val="en-US"/>
              </w:rPr>
              <w:t xml:space="preserve"> outcomes</w:t>
            </w:r>
          </w:p>
          <w:p w14:paraId="116357BC" w14:textId="77777777" w:rsidR="00183872" w:rsidRPr="00183872" w:rsidRDefault="00183872" w:rsidP="00183872">
            <w:pPr>
              <w:pStyle w:val="ListParagraph"/>
              <w:spacing w:line="216" w:lineRule="auto"/>
              <w:ind w:left="0"/>
              <w:rPr>
                <w:color w:val="000000" w:themeColor="text1"/>
              </w:rPr>
            </w:pPr>
            <w:r w:rsidRPr="00183872">
              <w:rPr>
                <w:rFonts w:eastAsiaTheme="minorEastAsia"/>
                <w:color w:val="000000" w:themeColor="text1"/>
                <w:kern w:val="24"/>
                <w:lang w:val="en-US"/>
                <w:eastAsianLayout w:id="-732238848"/>
              </w:rPr>
              <w:t xml:space="preserve">The study reports on clinical outcomes such as </w:t>
            </w:r>
            <w:r w:rsidRPr="00183872">
              <w:rPr>
                <w:rFonts w:eastAsiaTheme="minorEastAsia"/>
                <w:color w:val="000000" w:themeColor="text1"/>
                <w:kern w:val="24"/>
                <w:lang w:val="en-US"/>
              </w:rPr>
              <w:t>culture</w:t>
            </w:r>
            <w:r w:rsidRPr="00183872">
              <w:rPr>
                <w:rFonts w:eastAsiaTheme="minorEastAsia"/>
                <w:color w:val="000000" w:themeColor="text1"/>
                <w:kern w:val="24"/>
                <w:lang w:val="en-US"/>
                <w:eastAsianLayout w:id="-732238847"/>
              </w:rPr>
              <w:t xml:space="preserve"> conversion and treatment success, but how might the use of </w:t>
            </w:r>
            <w:proofErr w:type="spellStart"/>
            <w:r w:rsidRPr="00183872">
              <w:rPr>
                <w:rFonts w:eastAsiaTheme="minorEastAsia"/>
                <w:color w:val="000000" w:themeColor="text1"/>
                <w:kern w:val="24"/>
                <w:lang w:val="en-US"/>
                <w:eastAsianLayout w:id="-732238846"/>
              </w:rPr>
              <w:t>bedaquiline</w:t>
            </w:r>
            <w:proofErr w:type="spellEnd"/>
            <w:r w:rsidRPr="00183872">
              <w:rPr>
                <w:rFonts w:eastAsiaTheme="minorEastAsia"/>
                <w:color w:val="000000" w:themeColor="text1"/>
                <w:kern w:val="24"/>
                <w:lang w:val="en-US"/>
                <w:eastAsianLayout w:id="-732238845"/>
              </w:rPr>
              <w:t xml:space="preserve">-containing regimens impact patients’ quality of life and adherence to treatment? </w:t>
            </w:r>
            <w:r w:rsidRPr="00183872">
              <w:rPr>
                <w:rFonts w:eastAsiaTheme="minorEastAsia"/>
                <w:color w:val="000000" w:themeColor="text1"/>
                <w:kern w:val="24"/>
                <w:lang w:val="en-US"/>
                <w:eastAsianLayout w:id="-732238844"/>
              </w:rPr>
              <w:t>What additional patient-</w:t>
            </w:r>
            <w:proofErr w:type="spellStart"/>
            <w:r w:rsidRPr="00183872">
              <w:rPr>
                <w:rFonts w:eastAsiaTheme="minorEastAsia"/>
                <w:color w:val="000000" w:themeColor="text1"/>
                <w:kern w:val="24"/>
                <w:lang w:val="en-US"/>
                <w:eastAsianLayout w:id="-732238843"/>
              </w:rPr>
              <w:t>centred</w:t>
            </w:r>
            <w:proofErr w:type="spellEnd"/>
            <w:r w:rsidRPr="00183872">
              <w:rPr>
                <w:rFonts w:eastAsiaTheme="minorEastAsia"/>
                <w:color w:val="000000" w:themeColor="text1"/>
                <w:kern w:val="24"/>
                <w:lang w:val="en-US"/>
                <w:eastAsianLayout w:id="-732238842"/>
              </w:rPr>
              <w:t xml:space="preserve"> outcomes should be considered in future studies?</w:t>
            </w:r>
          </w:p>
          <w:p w14:paraId="722CB4EE" w14:textId="77777777" w:rsidR="00183872" w:rsidRPr="00183872" w:rsidRDefault="00183872" w:rsidP="00183872">
            <w:pPr>
              <w:pStyle w:val="NormalWeb"/>
              <w:spacing w:before="200" w:beforeAutospacing="0" w:after="0" w:afterAutospacing="0" w:line="216" w:lineRule="auto"/>
              <w:jc w:val="both"/>
              <w:rPr>
                <w:lang w:val="en-US"/>
              </w:rPr>
            </w:pPr>
          </w:p>
        </w:tc>
        <w:tc>
          <w:tcPr>
            <w:tcW w:w="4819" w:type="dxa"/>
          </w:tcPr>
          <w:p w14:paraId="76576CDB" w14:textId="77777777" w:rsidR="00183872" w:rsidRPr="00183872" w:rsidRDefault="00183872" w:rsidP="00183872">
            <w:pPr>
              <w:pStyle w:val="ListParagraph"/>
              <w:numPr>
                <w:ilvl w:val="0"/>
                <w:numId w:val="7"/>
              </w:numPr>
              <w:spacing w:line="216" w:lineRule="auto"/>
              <w:ind w:left="314" w:hanging="284"/>
            </w:pPr>
            <w:r w:rsidRPr="00183872">
              <w:rPr>
                <w:rFonts w:eastAsiaTheme="minorEastAsia"/>
                <w:color w:val="000000" w:themeColor="text1"/>
                <w:kern w:val="24"/>
              </w:rPr>
              <w:t xml:space="preserve">The impact of </w:t>
            </w:r>
            <w:proofErr w:type="spellStart"/>
            <w:r w:rsidRPr="00183872">
              <w:rPr>
                <w:rFonts w:eastAsiaTheme="minorEastAsia"/>
                <w:color w:val="000000" w:themeColor="text1"/>
                <w:kern w:val="24"/>
              </w:rPr>
              <w:t>bedaquiline</w:t>
            </w:r>
            <w:proofErr w:type="spellEnd"/>
            <w:r w:rsidRPr="00183872">
              <w:rPr>
                <w:rFonts w:eastAsiaTheme="minorEastAsia"/>
                <w:color w:val="000000" w:themeColor="text1"/>
                <w:kern w:val="24"/>
              </w:rPr>
              <w:t xml:space="preserve">-containing regimens on patients’ quality of life and adherence is truly important. </w:t>
            </w:r>
            <w:proofErr w:type="spellStart"/>
            <w:r w:rsidRPr="00183872">
              <w:rPr>
                <w:rFonts w:eastAsiaTheme="minorEastAsia"/>
                <w:color w:val="000000" w:themeColor="text1"/>
                <w:kern w:val="24"/>
              </w:rPr>
              <w:t>Bedaquiline</w:t>
            </w:r>
            <w:proofErr w:type="spellEnd"/>
            <w:r w:rsidRPr="00183872">
              <w:rPr>
                <w:rFonts w:eastAsiaTheme="minorEastAsia"/>
                <w:color w:val="000000" w:themeColor="text1"/>
                <w:kern w:val="24"/>
              </w:rPr>
              <w:t xml:space="preserve"> offers an all-oral, less toxic regimen, shorter duration treatment, potentially improving treatment adherence.</w:t>
            </w:r>
          </w:p>
          <w:p w14:paraId="12F81242" w14:textId="77777777" w:rsidR="00183872" w:rsidRPr="00183872" w:rsidRDefault="00183872" w:rsidP="00183872">
            <w:pPr>
              <w:pStyle w:val="ListParagraph"/>
              <w:numPr>
                <w:ilvl w:val="0"/>
                <w:numId w:val="7"/>
              </w:numPr>
              <w:spacing w:line="216" w:lineRule="auto"/>
              <w:ind w:left="314" w:hanging="284"/>
            </w:pPr>
            <w:r w:rsidRPr="00183872">
              <w:rPr>
                <w:rFonts w:eastAsiaTheme="minorEastAsia"/>
                <w:color w:val="000000" w:themeColor="text1"/>
                <w:kern w:val="24"/>
              </w:rPr>
              <w:t>However, prolonged BDQ use may also lead to adverse events like QT prolongation, (not frequent) which could impact patient well-being and willingness to continue treatment.</w:t>
            </w:r>
          </w:p>
          <w:p w14:paraId="51E13BD4" w14:textId="77777777" w:rsidR="00183872" w:rsidRPr="00183872" w:rsidRDefault="00183872" w:rsidP="00183872">
            <w:pPr>
              <w:pStyle w:val="ListParagraph"/>
              <w:numPr>
                <w:ilvl w:val="0"/>
                <w:numId w:val="7"/>
              </w:numPr>
              <w:spacing w:line="216" w:lineRule="auto"/>
              <w:ind w:left="314" w:hanging="284"/>
              <w:rPr>
                <w:b/>
                <w:bCs/>
                <w:color w:val="000000" w:themeColor="text1"/>
              </w:rPr>
            </w:pPr>
            <w:r w:rsidRPr="00183872">
              <w:rPr>
                <w:rFonts w:eastAsiaTheme="minorEastAsia"/>
                <w:color w:val="000000" w:themeColor="text1"/>
                <w:kern w:val="24"/>
              </w:rPr>
              <w:t xml:space="preserve">Additional patient </w:t>
            </w:r>
            <w:proofErr w:type="spellStart"/>
            <w:r w:rsidRPr="00183872">
              <w:rPr>
                <w:rFonts w:eastAsiaTheme="minorEastAsia"/>
                <w:color w:val="000000" w:themeColor="text1"/>
                <w:kern w:val="24"/>
              </w:rPr>
              <w:t>center</w:t>
            </w:r>
            <w:proofErr w:type="spellEnd"/>
            <w:r w:rsidRPr="00183872">
              <w:rPr>
                <w:rFonts w:eastAsiaTheme="minorEastAsia"/>
                <w:color w:val="000000" w:themeColor="text1"/>
                <w:kern w:val="24"/>
              </w:rPr>
              <w:t xml:space="preserve"> we can consider: </w:t>
            </w:r>
            <w:r w:rsidRPr="00183872">
              <w:rPr>
                <w:rFonts w:eastAsiaTheme="minorEastAsia"/>
                <w:b/>
                <w:bCs/>
                <w:color w:val="000000" w:themeColor="text1"/>
                <w:kern w:val="24"/>
              </w:rPr>
              <w:t>quality of life, treatment adherence, incidence of adverse effect.</w:t>
            </w:r>
          </w:p>
          <w:p w14:paraId="3826134F" w14:textId="77777777" w:rsidR="00183872" w:rsidRPr="00183872" w:rsidRDefault="00183872" w:rsidP="00183872">
            <w:pPr>
              <w:spacing w:line="216" w:lineRule="auto"/>
              <w:ind w:left="314" w:hanging="284"/>
              <w:rPr>
                <w:rFonts w:ascii="Times New Roman" w:eastAsiaTheme="minorEastAsia" w:hAnsi="Times New Roman" w:cs="Times New Roman"/>
                <w:color w:val="000000" w:themeColor="text1"/>
                <w:kern w:val="24"/>
              </w:rPr>
            </w:pPr>
          </w:p>
        </w:tc>
      </w:tr>
    </w:tbl>
    <w:p w14:paraId="52BEEF2E" w14:textId="77777777" w:rsidR="003C4D08" w:rsidRPr="003C4D08" w:rsidRDefault="003C4D08" w:rsidP="003C4D08">
      <w:pPr>
        <w:rPr>
          <w:rFonts w:ascii="Times New Roman" w:hAnsi="Times New Roman" w:cs="Times New Roman"/>
          <w:lang w:val="en-US"/>
        </w:rPr>
      </w:pPr>
    </w:p>
    <w:sectPr w:rsidR="003C4D08" w:rsidRPr="003C4D0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Microsoft JhengHei">
    <w:altName w:val="微軟正黑體"/>
    <w:panose1 w:val="020B0604030504040204"/>
    <w:charset w:val="88"/>
    <w:family w:val="swiss"/>
    <w:pitch w:val="variable"/>
    <w:sig w:usb0="00000087" w:usb1="288F4000" w:usb2="00000016" w:usb3="00000000" w:csb0="00100009" w:csb1="00000000"/>
  </w:font>
  <w:font w:name="Calibri">
    <w:panose1 w:val="020F0502020204030204"/>
    <w:charset w:val="00"/>
    <w:family w:val="swiss"/>
    <w:pitch w:val="variable"/>
    <w:sig w:usb0="E0002A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952093"/>
    <w:multiLevelType w:val="multilevel"/>
    <w:tmpl w:val="C7A6C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7C5D0B"/>
    <w:multiLevelType w:val="hybridMultilevel"/>
    <w:tmpl w:val="667068D0"/>
    <w:lvl w:ilvl="0" w:tplc="5D9A6EC4">
      <w:start w:val="1"/>
      <w:numFmt w:val="bullet"/>
      <w:lvlText w:val="•"/>
      <w:lvlJc w:val="left"/>
      <w:pPr>
        <w:tabs>
          <w:tab w:val="num" w:pos="720"/>
        </w:tabs>
        <w:ind w:left="720" w:hanging="360"/>
      </w:pPr>
      <w:rPr>
        <w:rFonts w:ascii="Arial" w:hAnsi="Arial" w:hint="default"/>
      </w:rPr>
    </w:lvl>
    <w:lvl w:ilvl="1" w:tplc="D89A439E" w:tentative="1">
      <w:start w:val="1"/>
      <w:numFmt w:val="bullet"/>
      <w:lvlText w:val="•"/>
      <w:lvlJc w:val="left"/>
      <w:pPr>
        <w:tabs>
          <w:tab w:val="num" w:pos="1440"/>
        </w:tabs>
        <w:ind w:left="1440" w:hanging="360"/>
      </w:pPr>
      <w:rPr>
        <w:rFonts w:ascii="Arial" w:hAnsi="Arial" w:hint="default"/>
      </w:rPr>
    </w:lvl>
    <w:lvl w:ilvl="2" w:tplc="537665AA" w:tentative="1">
      <w:start w:val="1"/>
      <w:numFmt w:val="bullet"/>
      <w:lvlText w:val="•"/>
      <w:lvlJc w:val="left"/>
      <w:pPr>
        <w:tabs>
          <w:tab w:val="num" w:pos="2160"/>
        </w:tabs>
        <w:ind w:left="2160" w:hanging="360"/>
      </w:pPr>
      <w:rPr>
        <w:rFonts w:ascii="Arial" w:hAnsi="Arial" w:hint="default"/>
      </w:rPr>
    </w:lvl>
    <w:lvl w:ilvl="3" w:tplc="C3D2DA7E" w:tentative="1">
      <w:start w:val="1"/>
      <w:numFmt w:val="bullet"/>
      <w:lvlText w:val="•"/>
      <w:lvlJc w:val="left"/>
      <w:pPr>
        <w:tabs>
          <w:tab w:val="num" w:pos="2880"/>
        </w:tabs>
        <w:ind w:left="2880" w:hanging="360"/>
      </w:pPr>
      <w:rPr>
        <w:rFonts w:ascii="Arial" w:hAnsi="Arial" w:hint="default"/>
      </w:rPr>
    </w:lvl>
    <w:lvl w:ilvl="4" w:tplc="BE2655DE" w:tentative="1">
      <w:start w:val="1"/>
      <w:numFmt w:val="bullet"/>
      <w:lvlText w:val="•"/>
      <w:lvlJc w:val="left"/>
      <w:pPr>
        <w:tabs>
          <w:tab w:val="num" w:pos="3600"/>
        </w:tabs>
        <w:ind w:left="3600" w:hanging="360"/>
      </w:pPr>
      <w:rPr>
        <w:rFonts w:ascii="Arial" w:hAnsi="Arial" w:hint="default"/>
      </w:rPr>
    </w:lvl>
    <w:lvl w:ilvl="5" w:tplc="AB3CB32E" w:tentative="1">
      <w:start w:val="1"/>
      <w:numFmt w:val="bullet"/>
      <w:lvlText w:val="•"/>
      <w:lvlJc w:val="left"/>
      <w:pPr>
        <w:tabs>
          <w:tab w:val="num" w:pos="4320"/>
        </w:tabs>
        <w:ind w:left="4320" w:hanging="360"/>
      </w:pPr>
      <w:rPr>
        <w:rFonts w:ascii="Arial" w:hAnsi="Arial" w:hint="default"/>
      </w:rPr>
    </w:lvl>
    <w:lvl w:ilvl="6" w:tplc="7206B78A" w:tentative="1">
      <w:start w:val="1"/>
      <w:numFmt w:val="bullet"/>
      <w:lvlText w:val="•"/>
      <w:lvlJc w:val="left"/>
      <w:pPr>
        <w:tabs>
          <w:tab w:val="num" w:pos="5040"/>
        </w:tabs>
        <w:ind w:left="5040" w:hanging="360"/>
      </w:pPr>
      <w:rPr>
        <w:rFonts w:ascii="Arial" w:hAnsi="Arial" w:hint="default"/>
      </w:rPr>
    </w:lvl>
    <w:lvl w:ilvl="7" w:tplc="C5B43FA0" w:tentative="1">
      <w:start w:val="1"/>
      <w:numFmt w:val="bullet"/>
      <w:lvlText w:val="•"/>
      <w:lvlJc w:val="left"/>
      <w:pPr>
        <w:tabs>
          <w:tab w:val="num" w:pos="5760"/>
        </w:tabs>
        <w:ind w:left="5760" w:hanging="360"/>
      </w:pPr>
      <w:rPr>
        <w:rFonts w:ascii="Arial" w:hAnsi="Arial" w:hint="default"/>
      </w:rPr>
    </w:lvl>
    <w:lvl w:ilvl="8" w:tplc="5DE48E8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5065F0C"/>
    <w:multiLevelType w:val="hybridMultilevel"/>
    <w:tmpl w:val="48A07BEC"/>
    <w:lvl w:ilvl="0" w:tplc="734246CC">
      <w:start w:val="1"/>
      <w:numFmt w:val="bullet"/>
      <w:lvlText w:val="•"/>
      <w:lvlJc w:val="left"/>
      <w:pPr>
        <w:tabs>
          <w:tab w:val="num" w:pos="720"/>
        </w:tabs>
        <w:ind w:left="720" w:hanging="360"/>
      </w:pPr>
      <w:rPr>
        <w:rFonts w:ascii="Arial" w:hAnsi="Arial" w:hint="default"/>
      </w:rPr>
    </w:lvl>
    <w:lvl w:ilvl="1" w:tplc="64AC88DE" w:tentative="1">
      <w:start w:val="1"/>
      <w:numFmt w:val="bullet"/>
      <w:lvlText w:val="•"/>
      <w:lvlJc w:val="left"/>
      <w:pPr>
        <w:tabs>
          <w:tab w:val="num" w:pos="1440"/>
        </w:tabs>
        <w:ind w:left="1440" w:hanging="360"/>
      </w:pPr>
      <w:rPr>
        <w:rFonts w:ascii="Arial" w:hAnsi="Arial" w:hint="default"/>
      </w:rPr>
    </w:lvl>
    <w:lvl w:ilvl="2" w:tplc="10FAC040" w:tentative="1">
      <w:start w:val="1"/>
      <w:numFmt w:val="bullet"/>
      <w:lvlText w:val="•"/>
      <w:lvlJc w:val="left"/>
      <w:pPr>
        <w:tabs>
          <w:tab w:val="num" w:pos="2160"/>
        </w:tabs>
        <w:ind w:left="2160" w:hanging="360"/>
      </w:pPr>
      <w:rPr>
        <w:rFonts w:ascii="Arial" w:hAnsi="Arial" w:hint="default"/>
      </w:rPr>
    </w:lvl>
    <w:lvl w:ilvl="3" w:tplc="D1289B36" w:tentative="1">
      <w:start w:val="1"/>
      <w:numFmt w:val="bullet"/>
      <w:lvlText w:val="•"/>
      <w:lvlJc w:val="left"/>
      <w:pPr>
        <w:tabs>
          <w:tab w:val="num" w:pos="2880"/>
        </w:tabs>
        <w:ind w:left="2880" w:hanging="360"/>
      </w:pPr>
      <w:rPr>
        <w:rFonts w:ascii="Arial" w:hAnsi="Arial" w:hint="default"/>
      </w:rPr>
    </w:lvl>
    <w:lvl w:ilvl="4" w:tplc="F9E2F8A8" w:tentative="1">
      <w:start w:val="1"/>
      <w:numFmt w:val="bullet"/>
      <w:lvlText w:val="•"/>
      <w:lvlJc w:val="left"/>
      <w:pPr>
        <w:tabs>
          <w:tab w:val="num" w:pos="3600"/>
        </w:tabs>
        <w:ind w:left="3600" w:hanging="360"/>
      </w:pPr>
      <w:rPr>
        <w:rFonts w:ascii="Arial" w:hAnsi="Arial" w:hint="default"/>
      </w:rPr>
    </w:lvl>
    <w:lvl w:ilvl="5" w:tplc="F6C0C5E4" w:tentative="1">
      <w:start w:val="1"/>
      <w:numFmt w:val="bullet"/>
      <w:lvlText w:val="•"/>
      <w:lvlJc w:val="left"/>
      <w:pPr>
        <w:tabs>
          <w:tab w:val="num" w:pos="4320"/>
        </w:tabs>
        <w:ind w:left="4320" w:hanging="360"/>
      </w:pPr>
      <w:rPr>
        <w:rFonts w:ascii="Arial" w:hAnsi="Arial" w:hint="default"/>
      </w:rPr>
    </w:lvl>
    <w:lvl w:ilvl="6" w:tplc="52806094" w:tentative="1">
      <w:start w:val="1"/>
      <w:numFmt w:val="bullet"/>
      <w:lvlText w:val="•"/>
      <w:lvlJc w:val="left"/>
      <w:pPr>
        <w:tabs>
          <w:tab w:val="num" w:pos="5040"/>
        </w:tabs>
        <w:ind w:left="5040" w:hanging="360"/>
      </w:pPr>
      <w:rPr>
        <w:rFonts w:ascii="Arial" w:hAnsi="Arial" w:hint="default"/>
      </w:rPr>
    </w:lvl>
    <w:lvl w:ilvl="7" w:tplc="8D8CAE1A" w:tentative="1">
      <w:start w:val="1"/>
      <w:numFmt w:val="bullet"/>
      <w:lvlText w:val="•"/>
      <w:lvlJc w:val="left"/>
      <w:pPr>
        <w:tabs>
          <w:tab w:val="num" w:pos="5760"/>
        </w:tabs>
        <w:ind w:left="5760" w:hanging="360"/>
      </w:pPr>
      <w:rPr>
        <w:rFonts w:ascii="Arial" w:hAnsi="Arial" w:hint="default"/>
      </w:rPr>
    </w:lvl>
    <w:lvl w:ilvl="8" w:tplc="C22C873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C2B4D15"/>
    <w:multiLevelType w:val="hybridMultilevel"/>
    <w:tmpl w:val="AF2CB888"/>
    <w:lvl w:ilvl="0" w:tplc="DCDC9D62">
      <w:start w:val="1"/>
      <w:numFmt w:val="bullet"/>
      <w:lvlText w:val="•"/>
      <w:lvlJc w:val="left"/>
      <w:pPr>
        <w:tabs>
          <w:tab w:val="num" w:pos="720"/>
        </w:tabs>
        <w:ind w:left="720" w:hanging="360"/>
      </w:pPr>
      <w:rPr>
        <w:rFonts w:ascii="Arial" w:hAnsi="Arial" w:hint="default"/>
      </w:rPr>
    </w:lvl>
    <w:lvl w:ilvl="1" w:tplc="20ACE7A6" w:tentative="1">
      <w:start w:val="1"/>
      <w:numFmt w:val="bullet"/>
      <w:lvlText w:val="•"/>
      <w:lvlJc w:val="left"/>
      <w:pPr>
        <w:tabs>
          <w:tab w:val="num" w:pos="1440"/>
        </w:tabs>
        <w:ind w:left="1440" w:hanging="360"/>
      </w:pPr>
      <w:rPr>
        <w:rFonts w:ascii="Arial" w:hAnsi="Arial" w:hint="default"/>
      </w:rPr>
    </w:lvl>
    <w:lvl w:ilvl="2" w:tplc="4AEA6070" w:tentative="1">
      <w:start w:val="1"/>
      <w:numFmt w:val="bullet"/>
      <w:lvlText w:val="•"/>
      <w:lvlJc w:val="left"/>
      <w:pPr>
        <w:tabs>
          <w:tab w:val="num" w:pos="2160"/>
        </w:tabs>
        <w:ind w:left="2160" w:hanging="360"/>
      </w:pPr>
      <w:rPr>
        <w:rFonts w:ascii="Arial" w:hAnsi="Arial" w:hint="default"/>
      </w:rPr>
    </w:lvl>
    <w:lvl w:ilvl="3" w:tplc="16AE75DA" w:tentative="1">
      <w:start w:val="1"/>
      <w:numFmt w:val="bullet"/>
      <w:lvlText w:val="•"/>
      <w:lvlJc w:val="left"/>
      <w:pPr>
        <w:tabs>
          <w:tab w:val="num" w:pos="2880"/>
        </w:tabs>
        <w:ind w:left="2880" w:hanging="360"/>
      </w:pPr>
      <w:rPr>
        <w:rFonts w:ascii="Arial" w:hAnsi="Arial" w:hint="default"/>
      </w:rPr>
    </w:lvl>
    <w:lvl w:ilvl="4" w:tplc="BC14E816" w:tentative="1">
      <w:start w:val="1"/>
      <w:numFmt w:val="bullet"/>
      <w:lvlText w:val="•"/>
      <w:lvlJc w:val="left"/>
      <w:pPr>
        <w:tabs>
          <w:tab w:val="num" w:pos="3600"/>
        </w:tabs>
        <w:ind w:left="3600" w:hanging="360"/>
      </w:pPr>
      <w:rPr>
        <w:rFonts w:ascii="Arial" w:hAnsi="Arial" w:hint="default"/>
      </w:rPr>
    </w:lvl>
    <w:lvl w:ilvl="5" w:tplc="2CFABC40" w:tentative="1">
      <w:start w:val="1"/>
      <w:numFmt w:val="bullet"/>
      <w:lvlText w:val="•"/>
      <w:lvlJc w:val="left"/>
      <w:pPr>
        <w:tabs>
          <w:tab w:val="num" w:pos="4320"/>
        </w:tabs>
        <w:ind w:left="4320" w:hanging="360"/>
      </w:pPr>
      <w:rPr>
        <w:rFonts w:ascii="Arial" w:hAnsi="Arial" w:hint="default"/>
      </w:rPr>
    </w:lvl>
    <w:lvl w:ilvl="6" w:tplc="70107618" w:tentative="1">
      <w:start w:val="1"/>
      <w:numFmt w:val="bullet"/>
      <w:lvlText w:val="•"/>
      <w:lvlJc w:val="left"/>
      <w:pPr>
        <w:tabs>
          <w:tab w:val="num" w:pos="5040"/>
        </w:tabs>
        <w:ind w:left="5040" w:hanging="360"/>
      </w:pPr>
      <w:rPr>
        <w:rFonts w:ascii="Arial" w:hAnsi="Arial" w:hint="default"/>
      </w:rPr>
    </w:lvl>
    <w:lvl w:ilvl="7" w:tplc="D0A49F5C" w:tentative="1">
      <w:start w:val="1"/>
      <w:numFmt w:val="bullet"/>
      <w:lvlText w:val="•"/>
      <w:lvlJc w:val="left"/>
      <w:pPr>
        <w:tabs>
          <w:tab w:val="num" w:pos="5760"/>
        </w:tabs>
        <w:ind w:left="5760" w:hanging="360"/>
      </w:pPr>
      <w:rPr>
        <w:rFonts w:ascii="Arial" w:hAnsi="Arial" w:hint="default"/>
      </w:rPr>
    </w:lvl>
    <w:lvl w:ilvl="8" w:tplc="FAA8B76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781297D"/>
    <w:multiLevelType w:val="hybridMultilevel"/>
    <w:tmpl w:val="99C24DE0"/>
    <w:lvl w:ilvl="0" w:tplc="E6B8A72C">
      <w:start w:val="1"/>
      <w:numFmt w:val="bullet"/>
      <w:lvlText w:val="•"/>
      <w:lvlJc w:val="left"/>
      <w:pPr>
        <w:tabs>
          <w:tab w:val="num" w:pos="720"/>
        </w:tabs>
        <w:ind w:left="720" w:hanging="360"/>
      </w:pPr>
      <w:rPr>
        <w:rFonts w:ascii="Arial" w:hAnsi="Arial" w:hint="default"/>
      </w:rPr>
    </w:lvl>
    <w:lvl w:ilvl="1" w:tplc="E73ED630" w:tentative="1">
      <w:start w:val="1"/>
      <w:numFmt w:val="bullet"/>
      <w:lvlText w:val="•"/>
      <w:lvlJc w:val="left"/>
      <w:pPr>
        <w:tabs>
          <w:tab w:val="num" w:pos="1440"/>
        </w:tabs>
        <w:ind w:left="1440" w:hanging="360"/>
      </w:pPr>
      <w:rPr>
        <w:rFonts w:ascii="Arial" w:hAnsi="Arial" w:hint="default"/>
      </w:rPr>
    </w:lvl>
    <w:lvl w:ilvl="2" w:tplc="A68CB946" w:tentative="1">
      <w:start w:val="1"/>
      <w:numFmt w:val="bullet"/>
      <w:lvlText w:val="•"/>
      <w:lvlJc w:val="left"/>
      <w:pPr>
        <w:tabs>
          <w:tab w:val="num" w:pos="2160"/>
        </w:tabs>
        <w:ind w:left="2160" w:hanging="360"/>
      </w:pPr>
      <w:rPr>
        <w:rFonts w:ascii="Arial" w:hAnsi="Arial" w:hint="default"/>
      </w:rPr>
    </w:lvl>
    <w:lvl w:ilvl="3" w:tplc="570C0104" w:tentative="1">
      <w:start w:val="1"/>
      <w:numFmt w:val="bullet"/>
      <w:lvlText w:val="•"/>
      <w:lvlJc w:val="left"/>
      <w:pPr>
        <w:tabs>
          <w:tab w:val="num" w:pos="2880"/>
        </w:tabs>
        <w:ind w:left="2880" w:hanging="360"/>
      </w:pPr>
      <w:rPr>
        <w:rFonts w:ascii="Arial" w:hAnsi="Arial" w:hint="default"/>
      </w:rPr>
    </w:lvl>
    <w:lvl w:ilvl="4" w:tplc="31D072A6" w:tentative="1">
      <w:start w:val="1"/>
      <w:numFmt w:val="bullet"/>
      <w:lvlText w:val="•"/>
      <w:lvlJc w:val="left"/>
      <w:pPr>
        <w:tabs>
          <w:tab w:val="num" w:pos="3600"/>
        </w:tabs>
        <w:ind w:left="3600" w:hanging="360"/>
      </w:pPr>
      <w:rPr>
        <w:rFonts w:ascii="Arial" w:hAnsi="Arial" w:hint="default"/>
      </w:rPr>
    </w:lvl>
    <w:lvl w:ilvl="5" w:tplc="C2A82E28" w:tentative="1">
      <w:start w:val="1"/>
      <w:numFmt w:val="bullet"/>
      <w:lvlText w:val="•"/>
      <w:lvlJc w:val="left"/>
      <w:pPr>
        <w:tabs>
          <w:tab w:val="num" w:pos="4320"/>
        </w:tabs>
        <w:ind w:left="4320" w:hanging="360"/>
      </w:pPr>
      <w:rPr>
        <w:rFonts w:ascii="Arial" w:hAnsi="Arial" w:hint="default"/>
      </w:rPr>
    </w:lvl>
    <w:lvl w:ilvl="6" w:tplc="27068718" w:tentative="1">
      <w:start w:val="1"/>
      <w:numFmt w:val="bullet"/>
      <w:lvlText w:val="•"/>
      <w:lvlJc w:val="left"/>
      <w:pPr>
        <w:tabs>
          <w:tab w:val="num" w:pos="5040"/>
        </w:tabs>
        <w:ind w:left="5040" w:hanging="360"/>
      </w:pPr>
      <w:rPr>
        <w:rFonts w:ascii="Arial" w:hAnsi="Arial" w:hint="default"/>
      </w:rPr>
    </w:lvl>
    <w:lvl w:ilvl="7" w:tplc="3872FDFE" w:tentative="1">
      <w:start w:val="1"/>
      <w:numFmt w:val="bullet"/>
      <w:lvlText w:val="•"/>
      <w:lvlJc w:val="left"/>
      <w:pPr>
        <w:tabs>
          <w:tab w:val="num" w:pos="5760"/>
        </w:tabs>
        <w:ind w:left="5760" w:hanging="360"/>
      </w:pPr>
      <w:rPr>
        <w:rFonts w:ascii="Arial" w:hAnsi="Arial" w:hint="default"/>
      </w:rPr>
    </w:lvl>
    <w:lvl w:ilvl="8" w:tplc="81A0778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9163CB0"/>
    <w:multiLevelType w:val="hybridMultilevel"/>
    <w:tmpl w:val="E864DB06"/>
    <w:lvl w:ilvl="0" w:tplc="27A4369E">
      <w:start w:val="1"/>
      <w:numFmt w:val="bullet"/>
      <w:lvlText w:val="•"/>
      <w:lvlJc w:val="left"/>
      <w:pPr>
        <w:tabs>
          <w:tab w:val="num" w:pos="720"/>
        </w:tabs>
        <w:ind w:left="720" w:hanging="360"/>
      </w:pPr>
      <w:rPr>
        <w:rFonts w:ascii="Arial" w:hAnsi="Arial" w:hint="default"/>
      </w:rPr>
    </w:lvl>
    <w:lvl w:ilvl="1" w:tplc="A6CEDF74" w:tentative="1">
      <w:start w:val="1"/>
      <w:numFmt w:val="bullet"/>
      <w:lvlText w:val="•"/>
      <w:lvlJc w:val="left"/>
      <w:pPr>
        <w:tabs>
          <w:tab w:val="num" w:pos="1440"/>
        </w:tabs>
        <w:ind w:left="1440" w:hanging="360"/>
      </w:pPr>
      <w:rPr>
        <w:rFonts w:ascii="Arial" w:hAnsi="Arial" w:hint="default"/>
      </w:rPr>
    </w:lvl>
    <w:lvl w:ilvl="2" w:tplc="EC7C16C0" w:tentative="1">
      <w:start w:val="1"/>
      <w:numFmt w:val="bullet"/>
      <w:lvlText w:val="•"/>
      <w:lvlJc w:val="left"/>
      <w:pPr>
        <w:tabs>
          <w:tab w:val="num" w:pos="2160"/>
        </w:tabs>
        <w:ind w:left="2160" w:hanging="360"/>
      </w:pPr>
      <w:rPr>
        <w:rFonts w:ascii="Arial" w:hAnsi="Arial" w:hint="default"/>
      </w:rPr>
    </w:lvl>
    <w:lvl w:ilvl="3" w:tplc="1736F044" w:tentative="1">
      <w:start w:val="1"/>
      <w:numFmt w:val="bullet"/>
      <w:lvlText w:val="•"/>
      <w:lvlJc w:val="left"/>
      <w:pPr>
        <w:tabs>
          <w:tab w:val="num" w:pos="2880"/>
        </w:tabs>
        <w:ind w:left="2880" w:hanging="360"/>
      </w:pPr>
      <w:rPr>
        <w:rFonts w:ascii="Arial" w:hAnsi="Arial" w:hint="default"/>
      </w:rPr>
    </w:lvl>
    <w:lvl w:ilvl="4" w:tplc="1A36EF06" w:tentative="1">
      <w:start w:val="1"/>
      <w:numFmt w:val="bullet"/>
      <w:lvlText w:val="•"/>
      <w:lvlJc w:val="left"/>
      <w:pPr>
        <w:tabs>
          <w:tab w:val="num" w:pos="3600"/>
        </w:tabs>
        <w:ind w:left="3600" w:hanging="360"/>
      </w:pPr>
      <w:rPr>
        <w:rFonts w:ascii="Arial" w:hAnsi="Arial" w:hint="default"/>
      </w:rPr>
    </w:lvl>
    <w:lvl w:ilvl="5" w:tplc="406CFC78" w:tentative="1">
      <w:start w:val="1"/>
      <w:numFmt w:val="bullet"/>
      <w:lvlText w:val="•"/>
      <w:lvlJc w:val="left"/>
      <w:pPr>
        <w:tabs>
          <w:tab w:val="num" w:pos="4320"/>
        </w:tabs>
        <w:ind w:left="4320" w:hanging="360"/>
      </w:pPr>
      <w:rPr>
        <w:rFonts w:ascii="Arial" w:hAnsi="Arial" w:hint="default"/>
      </w:rPr>
    </w:lvl>
    <w:lvl w:ilvl="6" w:tplc="248673CA" w:tentative="1">
      <w:start w:val="1"/>
      <w:numFmt w:val="bullet"/>
      <w:lvlText w:val="•"/>
      <w:lvlJc w:val="left"/>
      <w:pPr>
        <w:tabs>
          <w:tab w:val="num" w:pos="5040"/>
        </w:tabs>
        <w:ind w:left="5040" w:hanging="360"/>
      </w:pPr>
      <w:rPr>
        <w:rFonts w:ascii="Arial" w:hAnsi="Arial" w:hint="default"/>
      </w:rPr>
    </w:lvl>
    <w:lvl w:ilvl="7" w:tplc="9FBA171C" w:tentative="1">
      <w:start w:val="1"/>
      <w:numFmt w:val="bullet"/>
      <w:lvlText w:val="•"/>
      <w:lvlJc w:val="left"/>
      <w:pPr>
        <w:tabs>
          <w:tab w:val="num" w:pos="5760"/>
        </w:tabs>
        <w:ind w:left="5760" w:hanging="360"/>
      </w:pPr>
      <w:rPr>
        <w:rFonts w:ascii="Arial" w:hAnsi="Arial" w:hint="default"/>
      </w:rPr>
    </w:lvl>
    <w:lvl w:ilvl="8" w:tplc="EFB238D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71814243"/>
    <w:multiLevelType w:val="hybridMultilevel"/>
    <w:tmpl w:val="949454FE"/>
    <w:lvl w:ilvl="0" w:tplc="0164C164">
      <w:start w:val="1"/>
      <w:numFmt w:val="bullet"/>
      <w:lvlText w:val="•"/>
      <w:lvlJc w:val="left"/>
      <w:pPr>
        <w:tabs>
          <w:tab w:val="num" w:pos="720"/>
        </w:tabs>
        <w:ind w:left="720" w:hanging="360"/>
      </w:pPr>
      <w:rPr>
        <w:rFonts w:ascii="Arial" w:hAnsi="Arial" w:hint="default"/>
      </w:rPr>
    </w:lvl>
    <w:lvl w:ilvl="1" w:tplc="8B42DE44" w:tentative="1">
      <w:start w:val="1"/>
      <w:numFmt w:val="bullet"/>
      <w:lvlText w:val="•"/>
      <w:lvlJc w:val="left"/>
      <w:pPr>
        <w:tabs>
          <w:tab w:val="num" w:pos="1440"/>
        </w:tabs>
        <w:ind w:left="1440" w:hanging="360"/>
      </w:pPr>
      <w:rPr>
        <w:rFonts w:ascii="Arial" w:hAnsi="Arial" w:hint="default"/>
      </w:rPr>
    </w:lvl>
    <w:lvl w:ilvl="2" w:tplc="5414E702" w:tentative="1">
      <w:start w:val="1"/>
      <w:numFmt w:val="bullet"/>
      <w:lvlText w:val="•"/>
      <w:lvlJc w:val="left"/>
      <w:pPr>
        <w:tabs>
          <w:tab w:val="num" w:pos="2160"/>
        </w:tabs>
        <w:ind w:left="2160" w:hanging="360"/>
      </w:pPr>
      <w:rPr>
        <w:rFonts w:ascii="Arial" w:hAnsi="Arial" w:hint="default"/>
      </w:rPr>
    </w:lvl>
    <w:lvl w:ilvl="3" w:tplc="B7328B26" w:tentative="1">
      <w:start w:val="1"/>
      <w:numFmt w:val="bullet"/>
      <w:lvlText w:val="•"/>
      <w:lvlJc w:val="left"/>
      <w:pPr>
        <w:tabs>
          <w:tab w:val="num" w:pos="2880"/>
        </w:tabs>
        <w:ind w:left="2880" w:hanging="360"/>
      </w:pPr>
      <w:rPr>
        <w:rFonts w:ascii="Arial" w:hAnsi="Arial" w:hint="default"/>
      </w:rPr>
    </w:lvl>
    <w:lvl w:ilvl="4" w:tplc="A8122792" w:tentative="1">
      <w:start w:val="1"/>
      <w:numFmt w:val="bullet"/>
      <w:lvlText w:val="•"/>
      <w:lvlJc w:val="left"/>
      <w:pPr>
        <w:tabs>
          <w:tab w:val="num" w:pos="3600"/>
        </w:tabs>
        <w:ind w:left="3600" w:hanging="360"/>
      </w:pPr>
      <w:rPr>
        <w:rFonts w:ascii="Arial" w:hAnsi="Arial" w:hint="default"/>
      </w:rPr>
    </w:lvl>
    <w:lvl w:ilvl="5" w:tplc="66985D62" w:tentative="1">
      <w:start w:val="1"/>
      <w:numFmt w:val="bullet"/>
      <w:lvlText w:val="•"/>
      <w:lvlJc w:val="left"/>
      <w:pPr>
        <w:tabs>
          <w:tab w:val="num" w:pos="4320"/>
        </w:tabs>
        <w:ind w:left="4320" w:hanging="360"/>
      </w:pPr>
      <w:rPr>
        <w:rFonts w:ascii="Arial" w:hAnsi="Arial" w:hint="default"/>
      </w:rPr>
    </w:lvl>
    <w:lvl w:ilvl="6" w:tplc="E0629D30" w:tentative="1">
      <w:start w:val="1"/>
      <w:numFmt w:val="bullet"/>
      <w:lvlText w:val="•"/>
      <w:lvlJc w:val="left"/>
      <w:pPr>
        <w:tabs>
          <w:tab w:val="num" w:pos="5040"/>
        </w:tabs>
        <w:ind w:left="5040" w:hanging="360"/>
      </w:pPr>
      <w:rPr>
        <w:rFonts w:ascii="Arial" w:hAnsi="Arial" w:hint="default"/>
      </w:rPr>
    </w:lvl>
    <w:lvl w:ilvl="7" w:tplc="C9F42470" w:tentative="1">
      <w:start w:val="1"/>
      <w:numFmt w:val="bullet"/>
      <w:lvlText w:val="•"/>
      <w:lvlJc w:val="left"/>
      <w:pPr>
        <w:tabs>
          <w:tab w:val="num" w:pos="5760"/>
        </w:tabs>
        <w:ind w:left="5760" w:hanging="360"/>
      </w:pPr>
      <w:rPr>
        <w:rFonts w:ascii="Arial" w:hAnsi="Arial" w:hint="default"/>
      </w:rPr>
    </w:lvl>
    <w:lvl w:ilvl="8" w:tplc="2DBAC76E" w:tentative="1">
      <w:start w:val="1"/>
      <w:numFmt w:val="bullet"/>
      <w:lvlText w:val="•"/>
      <w:lvlJc w:val="left"/>
      <w:pPr>
        <w:tabs>
          <w:tab w:val="num" w:pos="6480"/>
        </w:tabs>
        <w:ind w:left="6480" w:hanging="360"/>
      </w:pPr>
      <w:rPr>
        <w:rFonts w:ascii="Arial" w:hAnsi="Arial" w:hint="default"/>
      </w:rPr>
    </w:lvl>
  </w:abstractNum>
  <w:num w:numId="1" w16cid:durableId="421493988">
    <w:abstractNumId w:val="0"/>
  </w:num>
  <w:num w:numId="2" w16cid:durableId="2108427910">
    <w:abstractNumId w:val="5"/>
  </w:num>
  <w:num w:numId="3" w16cid:durableId="1153181578">
    <w:abstractNumId w:val="3"/>
  </w:num>
  <w:num w:numId="4" w16cid:durableId="547031219">
    <w:abstractNumId w:val="4"/>
  </w:num>
  <w:num w:numId="5" w16cid:durableId="544416781">
    <w:abstractNumId w:val="6"/>
  </w:num>
  <w:num w:numId="6" w16cid:durableId="1113748713">
    <w:abstractNumId w:val="1"/>
  </w:num>
  <w:num w:numId="7" w16cid:durableId="6845528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grammar="clean"/>
  <w:attachedTemplate r:id="rId1"/>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D08"/>
    <w:rsid w:val="000014D7"/>
    <w:rsid w:val="00014F70"/>
    <w:rsid w:val="00027A1F"/>
    <w:rsid w:val="000422EC"/>
    <w:rsid w:val="000539C7"/>
    <w:rsid w:val="00053CF2"/>
    <w:rsid w:val="0005693D"/>
    <w:rsid w:val="00062156"/>
    <w:rsid w:val="000872F7"/>
    <w:rsid w:val="000A53A2"/>
    <w:rsid w:val="000B101C"/>
    <w:rsid w:val="000E2377"/>
    <w:rsid w:val="000E6C89"/>
    <w:rsid w:val="000F3656"/>
    <w:rsid w:val="001016E8"/>
    <w:rsid w:val="0010716F"/>
    <w:rsid w:val="0012365A"/>
    <w:rsid w:val="00132701"/>
    <w:rsid w:val="00147484"/>
    <w:rsid w:val="0015144A"/>
    <w:rsid w:val="00152EA1"/>
    <w:rsid w:val="00154519"/>
    <w:rsid w:val="0015586B"/>
    <w:rsid w:val="00164826"/>
    <w:rsid w:val="00176221"/>
    <w:rsid w:val="00183872"/>
    <w:rsid w:val="00185019"/>
    <w:rsid w:val="001A2859"/>
    <w:rsid w:val="001A2D45"/>
    <w:rsid w:val="001B1752"/>
    <w:rsid w:val="001C2979"/>
    <w:rsid w:val="001D09EC"/>
    <w:rsid w:val="001D50C0"/>
    <w:rsid w:val="001F6FF6"/>
    <w:rsid w:val="001F761A"/>
    <w:rsid w:val="002014B3"/>
    <w:rsid w:val="002026DD"/>
    <w:rsid w:val="00202C16"/>
    <w:rsid w:val="00225B65"/>
    <w:rsid w:val="0023429E"/>
    <w:rsid w:val="00236CD1"/>
    <w:rsid w:val="00250813"/>
    <w:rsid w:val="00275D45"/>
    <w:rsid w:val="002872FC"/>
    <w:rsid w:val="002927DE"/>
    <w:rsid w:val="002A46C8"/>
    <w:rsid w:val="002A4BE6"/>
    <w:rsid w:val="002B3D50"/>
    <w:rsid w:val="002B57E4"/>
    <w:rsid w:val="002D0685"/>
    <w:rsid w:val="002D59B9"/>
    <w:rsid w:val="002D74D7"/>
    <w:rsid w:val="002D7B03"/>
    <w:rsid w:val="002E5590"/>
    <w:rsid w:val="002F3213"/>
    <w:rsid w:val="00302812"/>
    <w:rsid w:val="003105A7"/>
    <w:rsid w:val="003161B7"/>
    <w:rsid w:val="003161FA"/>
    <w:rsid w:val="00317CE7"/>
    <w:rsid w:val="0032552D"/>
    <w:rsid w:val="00334101"/>
    <w:rsid w:val="00341259"/>
    <w:rsid w:val="00351A42"/>
    <w:rsid w:val="00354D4A"/>
    <w:rsid w:val="00361B48"/>
    <w:rsid w:val="00361EEF"/>
    <w:rsid w:val="003902D7"/>
    <w:rsid w:val="0039241C"/>
    <w:rsid w:val="003B0FCA"/>
    <w:rsid w:val="003B1B08"/>
    <w:rsid w:val="003B6BAF"/>
    <w:rsid w:val="003B7937"/>
    <w:rsid w:val="003C14BA"/>
    <w:rsid w:val="003C4D08"/>
    <w:rsid w:val="003D5DD8"/>
    <w:rsid w:val="003E17FF"/>
    <w:rsid w:val="003F44F6"/>
    <w:rsid w:val="003F7F49"/>
    <w:rsid w:val="004006E1"/>
    <w:rsid w:val="004100FC"/>
    <w:rsid w:val="0043281B"/>
    <w:rsid w:val="0044691D"/>
    <w:rsid w:val="00455604"/>
    <w:rsid w:val="00455EC7"/>
    <w:rsid w:val="004572C1"/>
    <w:rsid w:val="00464CD6"/>
    <w:rsid w:val="00466E21"/>
    <w:rsid w:val="0046777C"/>
    <w:rsid w:val="004801AB"/>
    <w:rsid w:val="00487F60"/>
    <w:rsid w:val="004A3C71"/>
    <w:rsid w:val="004A7415"/>
    <w:rsid w:val="004D1334"/>
    <w:rsid w:val="004E5B7E"/>
    <w:rsid w:val="004E6822"/>
    <w:rsid w:val="005350DF"/>
    <w:rsid w:val="005359FC"/>
    <w:rsid w:val="005519AC"/>
    <w:rsid w:val="00552520"/>
    <w:rsid w:val="00553167"/>
    <w:rsid w:val="00554A7C"/>
    <w:rsid w:val="005612E0"/>
    <w:rsid w:val="00570251"/>
    <w:rsid w:val="00581C8E"/>
    <w:rsid w:val="0058246D"/>
    <w:rsid w:val="005A5863"/>
    <w:rsid w:val="005A595C"/>
    <w:rsid w:val="005A7FA4"/>
    <w:rsid w:val="005B5922"/>
    <w:rsid w:val="005C4E4F"/>
    <w:rsid w:val="005C562A"/>
    <w:rsid w:val="005D3118"/>
    <w:rsid w:val="005D3904"/>
    <w:rsid w:val="005D489B"/>
    <w:rsid w:val="005E5D13"/>
    <w:rsid w:val="005F1266"/>
    <w:rsid w:val="005F67A5"/>
    <w:rsid w:val="00602663"/>
    <w:rsid w:val="006045E9"/>
    <w:rsid w:val="0061418C"/>
    <w:rsid w:val="006178AE"/>
    <w:rsid w:val="00630625"/>
    <w:rsid w:val="0065771A"/>
    <w:rsid w:val="00660140"/>
    <w:rsid w:val="00676464"/>
    <w:rsid w:val="00690809"/>
    <w:rsid w:val="00690811"/>
    <w:rsid w:val="006B2A79"/>
    <w:rsid w:val="006B76D7"/>
    <w:rsid w:val="006C40DA"/>
    <w:rsid w:val="006D5361"/>
    <w:rsid w:val="006E1F09"/>
    <w:rsid w:val="006E26FE"/>
    <w:rsid w:val="006E6C09"/>
    <w:rsid w:val="006F572E"/>
    <w:rsid w:val="006F5F57"/>
    <w:rsid w:val="007146B5"/>
    <w:rsid w:val="00733416"/>
    <w:rsid w:val="00734CF8"/>
    <w:rsid w:val="00736137"/>
    <w:rsid w:val="007452AF"/>
    <w:rsid w:val="00753CB2"/>
    <w:rsid w:val="00757857"/>
    <w:rsid w:val="0076483B"/>
    <w:rsid w:val="00776B74"/>
    <w:rsid w:val="0078556D"/>
    <w:rsid w:val="00791BA2"/>
    <w:rsid w:val="007A313A"/>
    <w:rsid w:val="007B624A"/>
    <w:rsid w:val="007B6894"/>
    <w:rsid w:val="007C0934"/>
    <w:rsid w:val="007C2313"/>
    <w:rsid w:val="007D5A15"/>
    <w:rsid w:val="007E52D1"/>
    <w:rsid w:val="007E7EBE"/>
    <w:rsid w:val="00812FE3"/>
    <w:rsid w:val="0081661F"/>
    <w:rsid w:val="00827033"/>
    <w:rsid w:val="00833DAF"/>
    <w:rsid w:val="008366C7"/>
    <w:rsid w:val="00836798"/>
    <w:rsid w:val="00836FF5"/>
    <w:rsid w:val="00843BEA"/>
    <w:rsid w:val="008452ED"/>
    <w:rsid w:val="00857706"/>
    <w:rsid w:val="00863FAA"/>
    <w:rsid w:val="00876D33"/>
    <w:rsid w:val="00885A51"/>
    <w:rsid w:val="0088715B"/>
    <w:rsid w:val="008C4D48"/>
    <w:rsid w:val="008D181C"/>
    <w:rsid w:val="0091035D"/>
    <w:rsid w:val="00912C47"/>
    <w:rsid w:val="009148D0"/>
    <w:rsid w:val="0092425B"/>
    <w:rsid w:val="00927C31"/>
    <w:rsid w:val="00943690"/>
    <w:rsid w:val="0094542F"/>
    <w:rsid w:val="00955180"/>
    <w:rsid w:val="00964A9B"/>
    <w:rsid w:val="0096736D"/>
    <w:rsid w:val="009761F6"/>
    <w:rsid w:val="00986D70"/>
    <w:rsid w:val="0099012A"/>
    <w:rsid w:val="009B7A44"/>
    <w:rsid w:val="009D781E"/>
    <w:rsid w:val="009E4867"/>
    <w:rsid w:val="00A02700"/>
    <w:rsid w:val="00A10E19"/>
    <w:rsid w:val="00A13B6C"/>
    <w:rsid w:val="00A1563C"/>
    <w:rsid w:val="00A17FF9"/>
    <w:rsid w:val="00A234C7"/>
    <w:rsid w:val="00A8035F"/>
    <w:rsid w:val="00A92C8E"/>
    <w:rsid w:val="00A92F73"/>
    <w:rsid w:val="00A9423E"/>
    <w:rsid w:val="00AA5692"/>
    <w:rsid w:val="00AB250D"/>
    <w:rsid w:val="00AB7550"/>
    <w:rsid w:val="00AF7A63"/>
    <w:rsid w:val="00B07729"/>
    <w:rsid w:val="00B310AC"/>
    <w:rsid w:val="00B338D2"/>
    <w:rsid w:val="00B51CCB"/>
    <w:rsid w:val="00BA1D80"/>
    <w:rsid w:val="00BA68E0"/>
    <w:rsid w:val="00BB14BE"/>
    <w:rsid w:val="00BB2269"/>
    <w:rsid w:val="00BB5EFD"/>
    <w:rsid w:val="00BC7953"/>
    <w:rsid w:val="00BE7D91"/>
    <w:rsid w:val="00BF08A1"/>
    <w:rsid w:val="00BF24A1"/>
    <w:rsid w:val="00BF3F10"/>
    <w:rsid w:val="00BF4B2D"/>
    <w:rsid w:val="00C020FA"/>
    <w:rsid w:val="00C20322"/>
    <w:rsid w:val="00C211BF"/>
    <w:rsid w:val="00C468A5"/>
    <w:rsid w:val="00C55F27"/>
    <w:rsid w:val="00C70CAC"/>
    <w:rsid w:val="00C7162D"/>
    <w:rsid w:val="00C758DF"/>
    <w:rsid w:val="00C76323"/>
    <w:rsid w:val="00C93E98"/>
    <w:rsid w:val="00C9783F"/>
    <w:rsid w:val="00CB306A"/>
    <w:rsid w:val="00CD5C4D"/>
    <w:rsid w:val="00CE406C"/>
    <w:rsid w:val="00CE56EC"/>
    <w:rsid w:val="00CF10D0"/>
    <w:rsid w:val="00D017ED"/>
    <w:rsid w:val="00D01D13"/>
    <w:rsid w:val="00D032D4"/>
    <w:rsid w:val="00D060A1"/>
    <w:rsid w:val="00D2108C"/>
    <w:rsid w:val="00D33CDB"/>
    <w:rsid w:val="00D41307"/>
    <w:rsid w:val="00D4480A"/>
    <w:rsid w:val="00D509A8"/>
    <w:rsid w:val="00D73716"/>
    <w:rsid w:val="00DA4CA0"/>
    <w:rsid w:val="00DA7FD4"/>
    <w:rsid w:val="00DE6F0E"/>
    <w:rsid w:val="00DF71D3"/>
    <w:rsid w:val="00E076D8"/>
    <w:rsid w:val="00E11A49"/>
    <w:rsid w:val="00E25BEF"/>
    <w:rsid w:val="00E26383"/>
    <w:rsid w:val="00E4534E"/>
    <w:rsid w:val="00E462A7"/>
    <w:rsid w:val="00E54D7F"/>
    <w:rsid w:val="00E57171"/>
    <w:rsid w:val="00E610EC"/>
    <w:rsid w:val="00E65BEA"/>
    <w:rsid w:val="00E710E6"/>
    <w:rsid w:val="00E92534"/>
    <w:rsid w:val="00EA1607"/>
    <w:rsid w:val="00EA3598"/>
    <w:rsid w:val="00EA7EEE"/>
    <w:rsid w:val="00EB23F3"/>
    <w:rsid w:val="00EB3601"/>
    <w:rsid w:val="00EB46BD"/>
    <w:rsid w:val="00ED0FFE"/>
    <w:rsid w:val="00ED120D"/>
    <w:rsid w:val="00ED6A5E"/>
    <w:rsid w:val="00EE5086"/>
    <w:rsid w:val="00EF5D2E"/>
    <w:rsid w:val="00F04D05"/>
    <w:rsid w:val="00F6757A"/>
    <w:rsid w:val="00F8111C"/>
    <w:rsid w:val="00F8390E"/>
    <w:rsid w:val="00F84854"/>
    <w:rsid w:val="00F84D08"/>
    <w:rsid w:val="00FB23DA"/>
    <w:rsid w:val="00FB52D0"/>
    <w:rsid w:val="00FC022E"/>
    <w:rsid w:val="00FE78FE"/>
    <w:rsid w:val="00FF1419"/>
    <w:rsid w:val="00FF3487"/>
    <w:rsid w:val="00FF572F"/>
    <w:rsid w:val="00FF605C"/>
    <w:rsid w:val="00FF6F9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4:docId w14:val="019EEF6C"/>
  <w15:chartTrackingRefBased/>
  <w15:docId w15:val="{505DCF83-46C8-A940-B07E-3E72B5C65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D"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C4D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C4D08"/>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3C4D08"/>
    <w:rPr>
      <w:b/>
      <w:bCs/>
    </w:rPr>
  </w:style>
  <w:style w:type="character" w:styleId="Hyperlink">
    <w:name w:val="Hyperlink"/>
    <w:basedOn w:val="DefaultParagraphFont"/>
    <w:uiPriority w:val="99"/>
    <w:semiHidden/>
    <w:unhideWhenUsed/>
    <w:rsid w:val="003C4D08"/>
    <w:rPr>
      <w:color w:val="0000FF"/>
      <w:u w:val="single"/>
    </w:rPr>
  </w:style>
  <w:style w:type="paragraph" w:customStyle="1" w:styleId="prev-discussion">
    <w:name w:val="prev-discussion"/>
    <w:basedOn w:val="Normal"/>
    <w:rsid w:val="003C4D08"/>
    <w:pPr>
      <w:spacing w:before="100" w:beforeAutospacing="1" w:after="100" w:afterAutospacing="1"/>
    </w:pPr>
    <w:rPr>
      <w:rFonts w:ascii="Times New Roman" w:eastAsia="Times New Roman" w:hAnsi="Times New Roman" w:cs="Times New Roman"/>
      <w:kern w:val="0"/>
      <w14:ligatures w14:val="none"/>
    </w:rPr>
  </w:style>
  <w:style w:type="paragraph" w:styleId="ListParagraph">
    <w:name w:val="List Paragraph"/>
    <w:basedOn w:val="Normal"/>
    <w:uiPriority w:val="34"/>
    <w:qFormat/>
    <w:rsid w:val="003C4D08"/>
    <w:pPr>
      <w:ind w:left="720"/>
      <w:contextualSpacing/>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496511">
      <w:bodyDiv w:val="1"/>
      <w:marLeft w:val="0"/>
      <w:marRight w:val="0"/>
      <w:marTop w:val="0"/>
      <w:marBottom w:val="0"/>
      <w:divBdr>
        <w:top w:val="none" w:sz="0" w:space="0" w:color="auto"/>
        <w:left w:val="none" w:sz="0" w:space="0" w:color="auto"/>
        <w:bottom w:val="none" w:sz="0" w:space="0" w:color="auto"/>
        <w:right w:val="none" w:sz="0" w:space="0" w:color="auto"/>
      </w:divBdr>
    </w:div>
    <w:div w:id="441535672">
      <w:bodyDiv w:val="1"/>
      <w:marLeft w:val="0"/>
      <w:marRight w:val="0"/>
      <w:marTop w:val="0"/>
      <w:marBottom w:val="0"/>
      <w:divBdr>
        <w:top w:val="none" w:sz="0" w:space="0" w:color="auto"/>
        <w:left w:val="none" w:sz="0" w:space="0" w:color="auto"/>
        <w:bottom w:val="none" w:sz="0" w:space="0" w:color="auto"/>
        <w:right w:val="none" w:sz="0" w:space="0" w:color="auto"/>
      </w:divBdr>
      <w:divsChild>
        <w:div w:id="1646349945">
          <w:marLeft w:val="360"/>
          <w:marRight w:val="0"/>
          <w:marTop w:val="200"/>
          <w:marBottom w:val="0"/>
          <w:divBdr>
            <w:top w:val="none" w:sz="0" w:space="0" w:color="auto"/>
            <w:left w:val="none" w:sz="0" w:space="0" w:color="auto"/>
            <w:bottom w:val="none" w:sz="0" w:space="0" w:color="auto"/>
            <w:right w:val="none" w:sz="0" w:space="0" w:color="auto"/>
          </w:divBdr>
        </w:div>
      </w:divsChild>
    </w:div>
    <w:div w:id="580453612">
      <w:bodyDiv w:val="1"/>
      <w:marLeft w:val="0"/>
      <w:marRight w:val="0"/>
      <w:marTop w:val="0"/>
      <w:marBottom w:val="0"/>
      <w:divBdr>
        <w:top w:val="none" w:sz="0" w:space="0" w:color="auto"/>
        <w:left w:val="none" w:sz="0" w:space="0" w:color="auto"/>
        <w:bottom w:val="none" w:sz="0" w:space="0" w:color="auto"/>
        <w:right w:val="none" w:sz="0" w:space="0" w:color="auto"/>
      </w:divBdr>
      <w:divsChild>
        <w:div w:id="1819028744">
          <w:marLeft w:val="0"/>
          <w:marRight w:val="0"/>
          <w:marTop w:val="750"/>
          <w:marBottom w:val="0"/>
          <w:divBdr>
            <w:top w:val="none" w:sz="0" w:space="0" w:color="auto"/>
            <w:left w:val="none" w:sz="0" w:space="0" w:color="auto"/>
            <w:bottom w:val="none" w:sz="0" w:space="0" w:color="auto"/>
            <w:right w:val="none" w:sz="0" w:space="0" w:color="auto"/>
          </w:divBdr>
          <w:divsChild>
            <w:div w:id="1391423031">
              <w:marLeft w:val="0"/>
              <w:marRight w:val="0"/>
              <w:marTop w:val="0"/>
              <w:marBottom w:val="0"/>
              <w:divBdr>
                <w:top w:val="none" w:sz="0" w:space="0" w:color="auto"/>
                <w:left w:val="none" w:sz="0" w:space="0" w:color="auto"/>
                <w:bottom w:val="none" w:sz="0" w:space="0" w:color="auto"/>
                <w:right w:val="none" w:sz="0" w:space="0" w:color="auto"/>
              </w:divBdr>
              <w:divsChild>
                <w:div w:id="252664961">
                  <w:marLeft w:val="-225"/>
                  <w:marRight w:val="-225"/>
                  <w:marTop w:val="0"/>
                  <w:marBottom w:val="0"/>
                  <w:divBdr>
                    <w:top w:val="none" w:sz="0" w:space="0" w:color="auto"/>
                    <w:left w:val="none" w:sz="0" w:space="0" w:color="auto"/>
                    <w:bottom w:val="none" w:sz="0" w:space="0" w:color="auto"/>
                    <w:right w:val="none" w:sz="0" w:space="0" w:color="auto"/>
                  </w:divBdr>
                  <w:divsChild>
                    <w:div w:id="2020308483">
                      <w:marLeft w:val="0"/>
                      <w:marRight w:val="0"/>
                      <w:marTop w:val="0"/>
                      <w:marBottom w:val="0"/>
                      <w:divBdr>
                        <w:top w:val="none" w:sz="0" w:space="0" w:color="auto"/>
                        <w:left w:val="none" w:sz="0" w:space="0" w:color="auto"/>
                        <w:bottom w:val="none" w:sz="0" w:space="0" w:color="auto"/>
                        <w:right w:val="none" w:sz="0" w:space="0" w:color="auto"/>
                      </w:divBdr>
                      <w:divsChild>
                        <w:div w:id="1274360839">
                          <w:marLeft w:val="0"/>
                          <w:marRight w:val="0"/>
                          <w:marTop w:val="0"/>
                          <w:marBottom w:val="0"/>
                          <w:divBdr>
                            <w:top w:val="none" w:sz="0" w:space="0" w:color="auto"/>
                            <w:left w:val="none" w:sz="0" w:space="0" w:color="auto"/>
                            <w:bottom w:val="none" w:sz="0" w:space="0" w:color="auto"/>
                            <w:right w:val="none" w:sz="0" w:space="0" w:color="auto"/>
                          </w:divBdr>
                          <w:divsChild>
                            <w:div w:id="496767553">
                              <w:marLeft w:val="0"/>
                              <w:marRight w:val="0"/>
                              <w:marTop w:val="0"/>
                              <w:marBottom w:val="0"/>
                              <w:divBdr>
                                <w:top w:val="none" w:sz="0" w:space="0" w:color="auto"/>
                                <w:left w:val="none" w:sz="0" w:space="0" w:color="auto"/>
                                <w:bottom w:val="none" w:sz="0" w:space="0" w:color="auto"/>
                                <w:right w:val="none" w:sz="0" w:space="0" w:color="auto"/>
                              </w:divBdr>
                              <w:divsChild>
                                <w:div w:id="1543327693">
                                  <w:marLeft w:val="0"/>
                                  <w:marRight w:val="0"/>
                                  <w:marTop w:val="0"/>
                                  <w:marBottom w:val="0"/>
                                  <w:divBdr>
                                    <w:top w:val="single" w:sz="6" w:space="5" w:color="DEE2E6"/>
                                    <w:left w:val="single" w:sz="6" w:space="5" w:color="DEE2E6"/>
                                    <w:bottom w:val="single" w:sz="6" w:space="5" w:color="DEE2E6"/>
                                    <w:right w:val="single" w:sz="6" w:space="5" w:color="DEE2E6"/>
                                  </w:divBdr>
                                  <w:divsChild>
                                    <w:div w:id="793137917">
                                      <w:marLeft w:val="0"/>
                                      <w:marRight w:val="0"/>
                                      <w:marTop w:val="0"/>
                                      <w:marBottom w:val="0"/>
                                      <w:divBdr>
                                        <w:top w:val="none" w:sz="0" w:space="0" w:color="auto"/>
                                        <w:left w:val="none" w:sz="0" w:space="0" w:color="auto"/>
                                        <w:bottom w:val="none" w:sz="0" w:space="0" w:color="auto"/>
                                        <w:right w:val="none" w:sz="0" w:space="0" w:color="auto"/>
                                      </w:divBdr>
                                      <w:divsChild>
                                        <w:div w:id="181894104">
                                          <w:marLeft w:val="0"/>
                                          <w:marRight w:val="0"/>
                                          <w:marTop w:val="0"/>
                                          <w:marBottom w:val="0"/>
                                          <w:divBdr>
                                            <w:top w:val="none" w:sz="0" w:space="0" w:color="auto"/>
                                            <w:left w:val="none" w:sz="0" w:space="0" w:color="auto"/>
                                            <w:bottom w:val="none" w:sz="0" w:space="0" w:color="auto"/>
                                            <w:right w:val="none" w:sz="0" w:space="0" w:color="auto"/>
                                          </w:divBdr>
                                          <w:divsChild>
                                            <w:div w:id="581454146">
                                              <w:marLeft w:val="0"/>
                                              <w:marRight w:val="0"/>
                                              <w:marTop w:val="0"/>
                                              <w:marBottom w:val="0"/>
                                              <w:divBdr>
                                                <w:top w:val="none" w:sz="0" w:space="0" w:color="auto"/>
                                                <w:left w:val="none" w:sz="0" w:space="0" w:color="auto"/>
                                                <w:bottom w:val="none" w:sz="0" w:space="0" w:color="auto"/>
                                                <w:right w:val="none" w:sz="0" w:space="0" w:color="auto"/>
                                              </w:divBdr>
                                              <w:divsChild>
                                                <w:div w:id="1940984064">
                                                  <w:marLeft w:val="0"/>
                                                  <w:marRight w:val="0"/>
                                                  <w:marTop w:val="0"/>
                                                  <w:marBottom w:val="0"/>
                                                  <w:divBdr>
                                                    <w:top w:val="none" w:sz="0" w:space="0" w:color="auto"/>
                                                    <w:left w:val="none" w:sz="0" w:space="0" w:color="auto"/>
                                                    <w:bottom w:val="none" w:sz="0" w:space="0" w:color="auto"/>
                                                    <w:right w:val="none" w:sz="0" w:space="0" w:color="auto"/>
                                                  </w:divBdr>
                                                </w:div>
                                                <w:div w:id="1806897471">
                                                  <w:marLeft w:val="0"/>
                                                  <w:marRight w:val="0"/>
                                                  <w:marTop w:val="0"/>
                                                  <w:marBottom w:val="0"/>
                                                  <w:divBdr>
                                                    <w:top w:val="none" w:sz="0" w:space="0" w:color="auto"/>
                                                    <w:left w:val="none" w:sz="0" w:space="0" w:color="auto"/>
                                                    <w:bottom w:val="none" w:sz="0" w:space="0" w:color="auto"/>
                                                    <w:right w:val="none" w:sz="0" w:space="0" w:color="auto"/>
                                                  </w:divBdr>
                                                  <w:divsChild>
                                                    <w:div w:id="71208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910793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3106465">
          <w:marLeft w:val="0"/>
          <w:marRight w:val="0"/>
          <w:marTop w:val="0"/>
          <w:marBottom w:val="0"/>
          <w:divBdr>
            <w:top w:val="none" w:sz="0" w:space="0" w:color="auto"/>
            <w:left w:val="none" w:sz="0" w:space="0" w:color="auto"/>
            <w:bottom w:val="none" w:sz="0" w:space="0" w:color="auto"/>
            <w:right w:val="none" w:sz="0" w:space="0" w:color="auto"/>
          </w:divBdr>
          <w:divsChild>
            <w:div w:id="149105556">
              <w:marLeft w:val="-225"/>
              <w:marRight w:val="-225"/>
              <w:marTop w:val="0"/>
              <w:marBottom w:val="0"/>
              <w:divBdr>
                <w:top w:val="none" w:sz="0" w:space="0" w:color="auto"/>
                <w:left w:val="none" w:sz="0" w:space="0" w:color="auto"/>
                <w:bottom w:val="none" w:sz="0" w:space="0" w:color="auto"/>
                <w:right w:val="none" w:sz="0" w:space="0" w:color="auto"/>
              </w:divBdr>
              <w:divsChild>
                <w:div w:id="850219504">
                  <w:marLeft w:val="0"/>
                  <w:marRight w:val="0"/>
                  <w:marTop w:val="0"/>
                  <w:marBottom w:val="0"/>
                  <w:divBdr>
                    <w:top w:val="none" w:sz="0" w:space="0" w:color="auto"/>
                    <w:left w:val="none" w:sz="0" w:space="0" w:color="auto"/>
                    <w:bottom w:val="none" w:sz="0" w:space="0" w:color="auto"/>
                    <w:right w:val="none" w:sz="0" w:space="0" w:color="auto"/>
                  </w:divBdr>
                  <w:divsChild>
                    <w:div w:id="56079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625658">
      <w:bodyDiv w:val="1"/>
      <w:marLeft w:val="0"/>
      <w:marRight w:val="0"/>
      <w:marTop w:val="0"/>
      <w:marBottom w:val="0"/>
      <w:divBdr>
        <w:top w:val="none" w:sz="0" w:space="0" w:color="auto"/>
        <w:left w:val="none" w:sz="0" w:space="0" w:color="auto"/>
        <w:bottom w:val="none" w:sz="0" w:space="0" w:color="auto"/>
        <w:right w:val="none" w:sz="0" w:space="0" w:color="auto"/>
      </w:divBdr>
      <w:divsChild>
        <w:div w:id="685398794">
          <w:marLeft w:val="360"/>
          <w:marRight w:val="0"/>
          <w:marTop w:val="200"/>
          <w:marBottom w:val="0"/>
          <w:divBdr>
            <w:top w:val="none" w:sz="0" w:space="0" w:color="auto"/>
            <w:left w:val="none" w:sz="0" w:space="0" w:color="auto"/>
            <w:bottom w:val="none" w:sz="0" w:space="0" w:color="auto"/>
            <w:right w:val="none" w:sz="0" w:space="0" w:color="auto"/>
          </w:divBdr>
        </w:div>
        <w:div w:id="180248386">
          <w:marLeft w:val="360"/>
          <w:marRight w:val="0"/>
          <w:marTop w:val="200"/>
          <w:marBottom w:val="0"/>
          <w:divBdr>
            <w:top w:val="none" w:sz="0" w:space="0" w:color="auto"/>
            <w:left w:val="none" w:sz="0" w:space="0" w:color="auto"/>
            <w:bottom w:val="none" w:sz="0" w:space="0" w:color="auto"/>
            <w:right w:val="none" w:sz="0" w:space="0" w:color="auto"/>
          </w:divBdr>
        </w:div>
        <w:div w:id="669215049">
          <w:marLeft w:val="360"/>
          <w:marRight w:val="0"/>
          <w:marTop w:val="200"/>
          <w:marBottom w:val="0"/>
          <w:divBdr>
            <w:top w:val="none" w:sz="0" w:space="0" w:color="auto"/>
            <w:left w:val="none" w:sz="0" w:space="0" w:color="auto"/>
            <w:bottom w:val="none" w:sz="0" w:space="0" w:color="auto"/>
            <w:right w:val="none" w:sz="0" w:space="0" w:color="auto"/>
          </w:divBdr>
        </w:div>
      </w:divsChild>
    </w:div>
    <w:div w:id="1088621275">
      <w:bodyDiv w:val="1"/>
      <w:marLeft w:val="0"/>
      <w:marRight w:val="0"/>
      <w:marTop w:val="0"/>
      <w:marBottom w:val="0"/>
      <w:divBdr>
        <w:top w:val="none" w:sz="0" w:space="0" w:color="auto"/>
        <w:left w:val="none" w:sz="0" w:space="0" w:color="auto"/>
        <w:bottom w:val="none" w:sz="0" w:space="0" w:color="auto"/>
        <w:right w:val="none" w:sz="0" w:space="0" w:color="auto"/>
      </w:divBdr>
      <w:divsChild>
        <w:div w:id="523981725">
          <w:marLeft w:val="360"/>
          <w:marRight w:val="0"/>
          <w:marTop w:val="200"/>
          <w:marBottom w:val="0"/>
          <w:divBdr>
            <w:top w:val="none" w:sz="0" w:space="0" w:color="auto"/>
            <w:left w:val="none" w:sz="0" w:space="0" w:color="auto"/>
            <w:bottom w:val="none" w:sz="0" w:space="0" w:color="auto"/>
            <w:right w:val="none" w:sz="0" w:space="0" w:color="auto"/>
          </w:divBdr>
        </w:div>
      </w:divsChild>
    </w:div>
    <w:div w:id="1347907175">
      <w:bodyDiv w:val="1"/>
      <w:marLeft w:val="0"/>
      <w:marRight w:val="0"/>
      <w:marTop w:val="0"/>
      <w:marBottom w:val="0"/>
      <w:divBdr>
        <w:top w:val="none" w:sz="0" w:space="0" w:color="auto"/>
        <w:left w:val="none" w:sz="0" w:space="0" w:color="auto"/>
        <w:bottom w:val="none" w:sz="0" w:space="0" w:color="auto"/>
        <w:right w:val="none" w:sz="0" w:space="0" w:color="auto"/>
      </w:divBdr>
      <w:divsChild>
        <w:div w:id="722557833">
          <w:marLeft w:val="360"/>
          <w:marRight w:val="0"/>
          <w:marTop w:val="200"/>
          <w:marBottom w:val="0"/>
          <w:divBdr>
            <w:top w:val="none" w:sz="0" w:space="0" w:color="auto"/>
            <w:left w:val="none" w:sz="0" w:space="0" w:color="auto"/>
            <w:bottom w:val="none" w:sz="0" w:space="0" w:color="auto"/>
            <w:right w:val="none" w:sz="0" w:space="0" w:color="auto"/>
          </w:divBdr>
        </w:div>
        <w:div w:id="1800340335">
          <w:marLeft w:val="360"/>
          <w:marRight w:val="0"/>
          <w:marTop w:val="200"/>
          <w:marBottom w:val="0"/>
          <w:divBdr>
            <w:top w:val="none" w:sz="0" w:space="0" w:color="auto"/>
            <w:left w:val="none" w:sz="0" w:space="0" w:color="auto"/>
            <w:bottom w:val="none" w:sz="0" w:space="0" w:color="auto"/>
            <w:right w:val="none" w:sz="0" w:space="0" w:color="auto"/>
          </w:divBdr>
        </w:div>
      </w:divsChild>
    </w:div>
    <w:div w:id="1438327932">
      <w:bodyDiv w:val="1"/>
      <w:marLeft w:val="0"/>
      <w:marRight w:val="0"/>
      <w:marTop w:val="0"/>
      <w:marBottom w:val="0"/>
      <w:divBdr>
        <w:top w:val="none" w:sz="0" w:space="0" w:color="auto"/>
        <w:left w:val="none" w:sz="0" w:space="0" w:color="auto"/>
        <w:bottom w:val="none" w:sz="0" w:space="0" w:color="auto"/>
        <w:right w:val="none" w:sz="0" w:space="0" w:color="auto"/>
      </w:divBdr>
    </w:div>
    <w:div w:id="1490756028">
      <w:bodyDiv w:val="1"/>
      <w:marLeft w:val="0"/>
      <w:marRight w:val="0"/>
      <w:marTop w:val="0"/>
      <w:marBottom w:val="0"/>
      <w:divBdr>
        <w:top w:val="none" w:sz="0" w:space="0" w:color="auto"/>
        <w:left w:val="none" w:sz="0" w:space="0" w:color="auto"/>
        <w:bottom w:val="none" w:sz="0" w:space="0" w:color="auto"/>
        <w:right w:val="none" w:sz="0" w:space="0" w:color="auto"/>
      </w:divBdr>
      <w:divsChild>
        <w:div w:id="1014267214">
          <w:marLeft w:val="360"/>
          <w:marRight w:val="0"/>
          <w:marTop w:val="200"/>
          <w:marBottom w:val="0"/>
          <w:divBdr>
            <w:top w:val="none" w:sz="0" w:space="0" w:color="auto"/>
            <w:left w:val="none" w:sz="0" w:space="0" w:color="auto"/>
            <w:bottom w:val="none" w:sz="0" w:space="0" w:color="auto"/>
            <w:right w:val="none" w:sz="0" w:space="0" w:color="auto"/>
          </w:divBdr>
        </w:div>
      </w:divsChild>
    </w:div>
    <w:div w:id="1612787390">
      <w:bodyDiv w:val="1"/>
      <w:marLeft w:val="0"/>
      <w:marRight w:val="0"/>
      <w:marTop w:val="0"/>
      <w:marBottom w:val="0"/>
      <w:divBdr>
        <w:top w:val="none" w:sz="0" w:space="0" w:color="auto"/>
        <w:left w:val="none" w:sz="0" w:space="0" w:color="auto"/>
        <w:bottom w:val="none" w:sz="0" w:space="0" w:color="auto"/>
        <w:right w:val="none" w:sz="0" w:space="0" w:color="auto"/>
      </w:divBdr>
    </w:div>
    <w:div w:id="1798991904">
      <w:bodyDiv w:val="1"/>
      <w:marLeft w:val="0"/>
      <w:marRight w:val="0"/>
      <w:marTop w:val="0"/>
      <w:marBottom w:val="0"/>
      <w:divBdr>
        <w:top w:val="none" w:sz="0" w:space="0" w:color="auto"/>
        <w:left w:val="none" w:sz="0" w:space="0" w:color="auto"/>
        <w:bottom w:val="none" w:sz="0" w:space="0" w:color="auto"/>
        <w:right w:val="none" w:sz="0" w:space="0" w:color="auto"/>
      </w:divBdr>
      <w:divsChild>
        <w:div w:id="923219795">
          <w:marLeft w:val="360"/>
          <w:marRight w:val="0"/>
          <w:marTop w:val="200"/>
          <w:marBottom w:val="0"/>
          <w:divBdr>
            <w:top w:val="none" w:sz="0" w:space="0" w:color="auto"/>
            <w:left w:val="none" w:sz="0" w:space="0" w:color="auto"/>
            <w:bottom w:val="none" w:sz="0" w:space="0" w:color="auto"/>
            <w:right w:val="none" w:sz="0" w:space="0" w:color="auto"/>
          </w:divBdr>
        </w:div>
        <w:div w:id="776407977">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621</Words>
  <Characters>3526</Characters>
  <Application>Microsoft Office Word</Application>
  <DocSecurity>0</DocSecurity>
  <Lines>129</Lines>
  <Paragraphs>30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4123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2025-04-11T03:30:00Z</dcterms:created>
  <dcterms:modified xsi:type="dcterms:W3CDTF">2025-04-11T03:46:00Z</dcterms:modified>
  <cp:category/>
</cp:coreProperties>
</file>