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B100" w14:textId="220DA318" w:rsidR="00557252" w:rsidRPr="00016EA2" w:rsidRDefault="00557252" w:rsidP="00557252">
      <w:pPr>
        <w:jc w:val="center"/>
        <w:rPr>
          <w:rFonts w:ascii="Times New Roman" w:hAnsi="Times New Roman"/>
          <w:b/>
          <w:sz w:val="24"/>
          <w:szCs w:val="24"/>
        </w:rPr>
      </w:pPr>
      <w:r w:rsidRPr="00016EA2">
        <w:rPr>
          <w:rFonts w:ascii="Times New Roman" w:hAnsi="Times New Roman"/>
          <w:b/>
          <w:sz w:val="24"/>
          <w:szCs w:val="24"/>
        </w:rPr>
        <w:t>RESEARCH SEMINA</w:t>
      </w:r>
      <w:r w:rsidR="00E041E3">
        <w:rPr>
          <w:rFonts w:ascii="Times New Roman" w:hAnsi="Times New Roman"/>
          <w:b/>
          <w:sz w:val="24"/>
          <w:szCs w:val="24"/>
        </w:rPr>
        <w:t>R</w:t>
      </w:r>
    </w:p>
    <w:p w14:paraId="3ABA0F76" w14:textId="25313557" w:rsidR="00557252" w:rsidRPr="00016EA2" w:rsidRDefault="00557252" w:rsidP="00557252">
      <w:pPr>
        <w:jc w:val="center"/>
        <w:rPr>
          <w:rFonts w:ascii="Times New Roman" w:hAnsi="Times New Roman"/>
          <w:b/>
          <w:sz w:val="24"/>
          <w:szCs w:val="24"/>
        </w:rPr>
      </w:pPr>
      <w:r w:rsidRPr="00016EA2">
        <w:rPr>
          <w:rFonts w:ascii="Times New Roman" w:hAnsi="Times New Roman"/>
          <w:b/>
          <w:sz w:val="24"/>
          <w:szCs w:val="24"/>
        </w:rPr>
        <w:t>RESPONSE TO COMME</w:t>
      </w:r>
      <w:r>
        <w:rPr>
          <w:rFonts w:ascii="Times New Roman" w:hAnsi="Times New Roman"/>
          <w:b/>
          <w:sz w:val="24"/>
          <w:szCs w:val="24"/>
        </w:rPr>
        <w:t>NT</w:t>
      </w:r>
      <w:r w:rsidR="00E041E3">
        <w:rPr>
          <w:rFonts w:ascii="Times New Roman" w:hAnsi="Times New Roman"/>
          <w:b/>
          <w:sz w:val="24"/>
          <w:szCs w:val="24"/>
        </w:rPr>
        <w:t>S</w:t>
      </w:r>
    </w:p>
    <w:p w14:paraId="0EF00021" w14:textId="0BBAA1D4" w:rsidR="00557252" w:rsidRPr="00705D5B" w:rsidRDefault="00557252" w:rsidP="00557252">
      <w:pPr>
        <w:rPr>
          <w:rFonts w:ascii="Times New Roman" w:eastAsia="游ゴシック" w:hAnsi="Times New Roman" w:hint="eastAsia"/>
          <w:sz w:val="24"/>
          <w:szCs w:val="24"/>
          <w:lang w:eastAsia="ja-JP"/>
        </w:rPr>
      </w:pPr>
      <w:r w:rsidRPr="00FA7846">
        <w:rPr>
          <w:rFonts w:ascii="Times New Roman" w:hAnsi="Times New Roman"/>
          <w:b/>
          <w:sz w:val="24"/>
          <w:szCs w:val="24"/>
        </w:rPr>
        <w:t>Name</w:t>
      </w:r>
      <w:r w:rsidRPr="00FA7846">
        <w:rPr>
          <w:rFonts w:ascii="Times New Roman" w:hAnsi="Times New Roman"/>
          <w:sz w:val="24"/>
          <w:szCs w:val="24"/>
        </w:rPr>
        <w:t xml:space="preserve">:   </w:t>
      </w:r>
      <w:r w:rsidR="00705D5B">
        <w:rPr>
          <w:rFonts w:ascii="Times New Roman" w:eastAsia="游ゴシック" w:hAnsi="Times New Roman" w:hint="eastAsia"/>
          <w:sz w:val="24"/>
          <w:szCs w:val="24"/>
          <w:lang w:eastAsia="ja-JP"/>
        </w:rPr>
        <w:t>Takeshi Miwa</w:t>
      </w:r>
      <w:r w:rsidRPr="00FA7846">
        <w:rPr>
          <w:rFonts w:ascii="Times New Roman" w:hAnsi="Times New Roman"/>
          <w:sz w:val="24"/>
          <w:szCs w:val="24"/>
        </w:rPr>
        <w:t xml:space="preserve">      </w:t>
      </w:r>
      <w:r w:rsidR="00E041E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FA7846">
        <w:rPr>
          <w:rFonts w:ascii="Times New Roman" w:hAnsi="Times New Roman"/>
          <w:sz w:val="24"/>
          <w:szCs w:val="24"/>
        </w:rPr>
        <w:t xml:space="preserve">   </w:t>
      </w:r>
      <w:r w:rsidR="00891F13">
        <w:rPr>
          <w:rFonts w:ascii="Times New Roman" w:eastAsia="游ゴシック" w:hAnsi="Times New Roman" w:hint="eastAsia"/>
          <w:sz w:val="24"/>
          <w:szCs w:val="24"/>
          <w:lang w:eastAsia="ja-JP"/>
        </w:rPr>
        <w:t xml:space="preserve">        </w:t>
      </w:r>
      <w:r w:rsidRPr="00FA7846">
        <w:rPr>
          <w:rFonts w:ascii="Times New Roman" w:hAnsi="Times New Roman"/>
          <w:b/>
          <w:sz w:val="24"/>
          <w:szCs w:val="24"/>
        </w:rPr>
        <w:t>Student No:</w:t>
      </w:r>
      <w:r>
        <w:rPr>
          <w:rFonts w:ascii="Times New Roman" w:hAnsi="Times New Roman"/>
          <w:sz w:val="24"/>
          <w:szCs w:val="24"/>
        </w:rPr>
        <w:t xml:space="preserve"> T88</w:t>
      </w:r>
      <w:r w:rsidR="00705D5B">
        <w:rPr>
          <w:rFonts w:ascii="Times New Roman" w:eastAsia="游ゴシック" w:hAnsi="Times New Roman" w:hint="eastAsia"/>
          <w:sz w:val="24"/>
          <w:szCs w:val="24"/>
          <w:lang w:eastAsia="ja-JP"/>
        </w:rPr>
        <w:t>13</w:t>
      </w:r>
      <w:r w:rsidR="00891F13">
        <w:rPr>
          <w:rFonts w:ascii="Times New Roman" w:eastAsia="游ゴシック" w:hAnsi="Times New Roman" w:hint="eastAsia"/>
          <w:sz w:val="24"/>
          <w:szCs w:val="24"/>
          <w:lang w:eastAsia="ja-JP"/>
        </w:rPr>
        <w:t>7016</w:t>
      </w:r>
    </w:p>
    <w:p w14:paraId="38A35A3B" w14:textId="77777777" w:rsidR="00DC643D" w:rsidRPr="00891F13" w:rsidRDefault="00DC643D" w:rsidP="00557252">
      <w:pPr>
        <w:rPr>
          <w:rFonts w:ascii="Times New Roman" w:hAnsi="Times New Roman"/>
          <w:sz w:val="24"/>
          <w:szCs w:val="24"/>
          <w:lang w:eastAsia="zh-TW"/>
        </w:rPr>
      </w:pPr>
    </w:p>
    <w:p w14:paraId="7C5B3688" w14:textId="54AE22B9" w:rsidR="00557252" w:rsidRPr="006D6A75" w:rsidRDefault="00557252" w:rsidP="00557252">
      <w:pPr>
        <w:rPr>
          <w:bCs/>
          <w:color w:val="2E74B5" w:themeColor="accent5" w:themeShade="BF"/>
          <w:lang w:eastAsia="zh-TW"/>
        </w:rPr>
      </w:pPr>
      <w:r w:rsidRPr="00FA7846">
        <w:rPr>
          <w:rFonts w:ascii="Times New Roman" w:hAnsi="Times New Roman"/>
          <w:b/>
          <w:sz w:val="24"/>
          <w:szCs w:val="24"/>
        </w:rPr>
        <w:t>Pap</w:t>
      </w:r>
      <w:r w:rsidRPr="00952CBB">
        <w:rPr>
          <w:rFonts w:ascii="Times New Roman" w:hAnsi="Times New Roman"/>
          <w:b/>
          <w:sz w:val="24"/>
          <w:szCs w:val="24"/>
        </w:rPr>
        <w:t xml:space="preserve">er: </w:t>
      </w:r>
      <w:r w:rsidR="00891F13" w:rsidRPr="00952CBB">
        <w:rPr>
          <w:rFonts w:ascii="Times New Roman" w:hAnsi="Times New Roman"/>
          <w:bCs/>
          <w:sz w:val="24"/>
          <w:szCs w:val="24"/>
        </w:rPr>
        <w:t>Impact of same-day ART initiation on medical care and medication discontinuation among patients with incident HIV infection or AIDS in Taiwan: A population-based cohort study.</w:t>
      </w:r>
    </w:p>
    <w:p w14:paraId="5EB94B37" w14:textId="77777777" w:rsidR="00DC643D" w:rsidRDefault="00DC643D" w:rsidP="00557252">
      <w:pPr>
        <w:rPr>
          <w:rFonts w:ascii="Times New Roman" w:hAnsi="Times New Roman"/>
          <w:color w:val="0070C0"/>
          <w:sz w:val="24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6"/>
        <w:gridCol w:w="3919"/>
        <w:gridCol w:w="4207"/>
      </w:tblGrid>
      <w:tr w:rsidR="00267F07" w14:paraId="49EA5C5A" w14:textId="77777777" w:rsidTr="00267F07">
        <w:trPr>
          <w:trHeight w:val="287"/>
        </w:trPr>
        <w:tc>
          <w:tcPr>
            <w:tcW w:w="796" w:type="dxa"/>
          </w:tcPr>
          <w:p w14:paraId="70690407" w14:textId="3F6F500E" w:rsidR="00267F07" w:rsidRPr="00952CBB" w:rsidRDefault="00267F07">
            <w:pPr>
              <w:rPr>
                <w:b/>
                <w:bCs/>
              </w:rPr>
            </w:pPr>
            <w:r w:rsidRPr="00952CBB">
              <w:rPr>
                <w:b/>
                <w:bCs/>
              </w:rPr>
              <w:t xml:space="preserve">S. No. </w:t>
            </w:r>
          </w:p>
        </w:tc>
        <w:tc>
          <w:tcPr>
            <w:tcW w:w="3919" w:type="dxa"/>
          </w:tcPr>
          <w:p w14:paraId="07CC651A" w14:textId="367B053A" w:rsidR="00267F07" w:rsidRPr="00952CBB" w:rsidRDefault="00267F07">
            <w:pPr>
              <w:rPr>
                <w:b/>
                <w:bCs/>
              </w:rPr>
            </w:pPr>
            <w:r w:rsidRPr="00952CBB">
              <w:rPr>
                <w:b/>
                <w:bCs/>
              </w:rPr>
              <w:t>Comments</w:t>
            </w:r>
          </w:p>
        </w:tc>
        <w:tc>
          <w:tcPr>
            <w:tcW w:w="4207" w:type="dxa"/>
          </w:tcPr>
          <w:p w14:paraId="474F57DC" w14:textId="00B9C7FC" w:rsidR="00267F07" w:rsidRPr="00952CBB" w:rsidRDefault="00267F07">
            <w:pPr>
              <w:rPr>
                <w:b/>
                <w:bCs/>
              </w:rPr>
            </w:pPr>
            <w:r w:rsidRPr="00952CBB">
              <w:rPr>
                <w:b/>
                <w:bCs/>
              </w:rPr>
              <w:t>Response to comments</w:t>
            </w:r>
          </w:p>
        </w:tc>
      </w:tr>
      <w:tr w:rsidR="00267F07" w14:paraId="60C15116" w14:textId="77777777" w:rsidTr="00267F07">
        <w:trPr>
          <w:trHeight w:val="2041"/>
        </w:trPr>
        <w:tc>
          <w:tcPr>
            <w:tcW w:w="796" w:type="dxa"/>
          </w:tcPr>
          <w:p w14:paraId="3EE5C2D6" w14:textId="6CF652A5" w:rsidR="00267F07" w:rsidRDefault="00267F07" w:rsidP="00267F07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919" w:type="dxa"/>
          </w:tcPr>
          <w:p w14:paraId="0F7052ED" w14:textId="44F40B69" w:rsidR="00267F07" w:rsidRPr="0019629B" w:rsidRDefault="00907944">
            <w:pPr>
              <w:rPr>
                <w:rFonts w:eastAsia="游ゴシック" w:hint="eastAsia"/>
                <w:b/>
                <w:bCs/>
                <w:lang w:eastAsia="ja-JP"/>
              </w:rPr>
            </w:pPr>
            <w:r w:rsidRPr="00907944">
              <w:rPr>
                <w:rFonts w:eastAsia="游ゴシック"/>
                <w:b/>
                <w:bCs/>
                <w:lang w:eastAsia="ja-JP"/>
              </w:rPr>
              <w:t>How are the outcomes measured? Does care discontinuation mean medication discontinuation as well?</w:t>
            </w:r>
          </w:p>
        </w:tc>
        <w:tc>
          <w:tcPr>
            <w:tcW w:w="4207" w:type="dxa"/>
          </w:tcPr>
          <w:p w14:paraId="632A1700" w14:textId="2F2F537E" w:rsidR="00267F07" w:rsidRPr="00907944" w:rsidRDefault="00907944" w:rsidP="0019629B">
            <w:pPr>
              <w:rPr>
                <w:rFonts w:eastAsia="游ゴシック" w:hint="eastAsia"/>
                <w:lang w:eastAsia="ja-JP"/>
              </w:rPr>
            </w:pPr>
            <w:r w:rsidRPr="00907944">
              <w:rPr>
                <w:rFonts w:eastAsia="游ゴシック"/>
                <w:lang w:eastAsia="ja-JP"/>
              </w:rPr>
              <w:t xml:space="preserve">Ideally, care discontinuation </w:t>
            </w:r>
            <w:r>
              <w:rPr>
                <w:rFonts w:eastAsia="游ゴシック" w:hint="eastAsia"/>
                <w:lang w:eastAsia="ja-JP"/>
              </w:rPr>
              <w:t>sh</w:t>
            </w:r>
            <w:r w:rsidRPr="00907944">
              <w:rPr>
                <w:rFonts w:eastAsia="游ゴシック"/>
                <w:lang w:eastAsia="ja-JP"/>
              </w:rPr>
              <w:t xml:space="preserve">ould align with medication discontinuation. However, in this study, the definitions differ. Some patients were classified as having discontinued care (e.g., not seeing a doctor within 90 days) but still continued receiving antiretroviral therapy (ART). For example, a patient might return after 90 days, see a doctor, and receive a prescription—this would be counted as </w:t>
            </w:r>
            <w:r>
              <w:rPr>
                <w:rFonts w:eastAsia="游ゴシック"/>
                <w:lang w:eastAsia="ja-JP"/>
              </w:rPr>
              <w:t>“</w:t>
            </w:r>
            <w:r w:rsidRPr="00907944">
              <w:rPr>
                <w:rFonts w:eastAsia="游ゴシック"/>
                <w:lang w:eastAsia="ja-JP"/>
              </w:rPr>
              <w:t>discontinued care</w:t>
            </w:r>
            <w:r>
              <w:rPr>
                <w:rFonts w:eastAsia="游ゴシック"/>
                <w:lang w:eastAsia="ja-JP"/>
              </w:rPr>
              <w:t>”</w:t>
            </w:r>
            <w:r w:rsidRPr="00907944">
              <w:rPr>
                <w:rFonts w:eastAsia="游ゴシック"/>
                <w:lang w:eastAsia="ja-JP"/>
              </w:rPr>
              <w:t xml:space="preserve"> but </w:t>
            </w:r>
            <w:r>
              <w:rPr>
                <w:rFonts w:eastAsia="游ゴシック"/>
                <w:lang w:eastAsia="ja-JP"/>
              </w:rPr>
              <w:t>“</w:t>
            </w:r>
            <w:r w:rsidRPr="00907944">
              <w:rPr>
                <w:rFonts w:eastAsia="游ゴシック"/>
                <w:lang w:eastAsia="ja-JP"/>
              </w:rPr>
              <w:t>continued medication</w:t>
            </w:r>
            <w:r>
              <w:rPr>
                <w:rFonts w:eastAsia="游ゴシック"/>
                <w:lang w:eastAsia="ja-JP"/>
              </w:rPr>
              <w:t>”</w:t>
            </w:r>
            <w:r w:rsidRPr="00907944">
              <w:rPr>
                <w:rFonts w:eastAsia="游ゴシック"/>
                <w:lang w:eastAsia="ja-JP"/>
              </w:rPr>
              <w:t>. As a result, the rate of care discontinuation appears much higher than that of medication discontinuation.</w:t>
            </w:r>
          </w:p>
        </w:tc>
      </w:tr>
      <w:tr w:rsidR="00267F07" w14:paraId="4B95DD27" w14:textId="77777777" w:rsidTr="00267F07">
        <w:trPr>
          <w:trHeight w:val="2041"/>
        </w:trPr>
        <w:tc>
          <w:tcPr>
            <w:tcW w:w="796" w:type="dxa"/>
          </w:tcPr>
          <w:p w14:paraId="73509D05" w14:textId="3E91ACBB" w:rsidR="00267F07" w:rsidRDefault="00267F07" w:rsidP="00267F07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919" w:type="dxa"/>
          </w:tcPr>
          <w:p w14:paraId="76A4B576" w14:textId="31699E79" w:rsidR="00267F07" w:rsidRPr="00FC6127" w:rsidRDefault="004559EF">
            <w:pPr>
              <w:rPr>
                <w:rFonts w:eastAsia="游ゴシック" w:hint="eastAsia"/>
                <w:b/>
                <w:bCs/>
                <w:lang w:val="en-IN" w:eastAsia="ja-JP"/>
              </w:rPr>
            </w:pPr>
            <w:r w:rsidRPr="004559EF">
              <w:rPr>
                <w:rFonts w:eastAsia="游ゴシック"/>
                <w:b/>
                <w:bCs/>
                <w:lang w:eastAsia="ja-JP"/>
              </w:rPr>
              <w:t>The covariates are mostly patient-level characteristics. Should provider-level factors (e.g., physician’s experience or gender) be included?</w:t>
            </w:r>
          </w:p>
        </w:tc>
        <w:tc>
          <w:tcPr>
            <w:tcW w:w="4207" w:type="dxa"/>
          </w:tcPr>
          <w:p w14:paraId="27D25865" w14:textId="49563CFC" w:rsidR="0087460A" w:rsidRPr="004559EF" w:rsidRDefault="004559EF">
            <w:pPr>
              <w:rPr>
                <w:rFonts w:eastAsia="游ゴシック" w:hint="eastAsia"/>
                <w:lang w:eastAsia="ja-JP"/>
              </w:rPr>
            </w:pPr>
            <w:r w:rsidRPr="004559EF">
              <w:rPr>
                <w:rFonts w:eastAsia="游ゴシック"/>
                <w:lang w:eastAsia="ja-JP"/>
              </w:rPr>
              <w:t>Agreed. As the professor noted, the National Health Insurance (NHI) data includes provider-related variables. The authors could have strengthened the analysis by including provider-level factors as covariates.</w:t>
            </w:r>
          </w:p>
        </w:tc>
      </w:tr>
      <w:tr w:rsidR="00267F07" w14:paraId="2C1D2E9B" w14:textId="77777777" w:rsidTr="00267F07">
        <w:trPr>
          <w:trHeight w:val="1976"/>
        </w:trPr>
        <w:tc>
          <w:tcPr>
            <w:tcW w:w="796" w:type="dxa"/>
          </w:tcPr>
          <w:p w14:paraId="4F51FF6D" w14:textId="1F53D42C" w:rsidR="00267F07" w:rsidRDefault="00267F07" w:rsidP="0087460A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919" w:type="dxa"/>
          </w:tcPr>
          <w:p w14:paraId="17C0E5C5" w14:textId="0EA82A44" w:rsidR="0087460A" w:rsidRPr="00FC6127" w:rsidRDefault="00FC6127">
            <w:pPr>
              <w:rPr>
                <w:rFonts w:eastAsia="游ゴシック" w:hint="eastAsia"/>
                <w:b/>
                <w:bCs/>
                <w:lang w:eastAsia="ja-JP"/>
              </w:rPr>
            </w:pPr>
            <w:r w:rsidRPr="00FC6127">
              <w:rPr>
                <w:rFonts w:eastAsia="游ゴシック" w:hint="eastAsia"/>
                <w:b/>
                <w:bCs/>
                <w:lang w:eastAsia="ja-JP"/>
              </w:rPr>
              <w:t>Propensity score is used to address confounding, not selection bias.</w:t>
            </w:r>
          </w:p>
        </w:tc>
        <w:tc>
          <w:tcPr>
            <w:tcW w:w="4207" w:type="dxa"/>
          </w:tcPr>
          <w:p w14:paraId="5E3B82FE" w14:textId="61E5F2A3" w:rsidR="00E041E3" w:rsidRPr="00FC6127" w:rsidRDefault="00FC6127">
            <w:pPr>
              <w:rPr>
                <w:rFonts w:eastAsia="游ゴシック" w:hint="eastAsia"/>
                <w:lang w:eastAsia="ja-JP"/>
              </w:rPr>
            </w:pPr>
            <w:r>
              <w:rPr>
                <w:rFonts w:eastAsia="游ゴシック" w:hint="eastAsia"/>
                <w:lang w:eastAsia="ja-JP"/>
              </w:rPr>
              <w:t>N/A</w:t>
            </w:r>
          </w:p>
        </w:tc>
      </w:tr>
      <w:tr w:rsidR="00267F07" w14:paraId="47BF1CE7" w14:textId="77777777" w:rsidTr="00267F07">
        <w:trPr>
          <w:trHeight w:val="2041"/>
        </w:trPr>
        <w:tc>
          <w:tcPr>
            <w:tcW w:w="796" w:type="dxa"/>
          </w:tcPr>
          <w:p w14:paraId="7691AC19" w14:textId="5CC4E006" w:rsidR="00267F07" w:rsidRDefault="00267F07" w:rsidP="00E041E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919" w:type="dxa"/>
          </w:tcPr>
          <w:p w14:paraId="4D843956" w14:textId="114FFBA6" w:rsidR="00E041E3" w:rsidRPr="00153876" w:rsidRDefault="00E278A9">
            <w:pPr>
              <w:rPr>
                <w:rFonts w:eastAsia="游ゴシック" w:hint="eastAsia"/>
                <w:b/>
                <w:bCs/>
                <w:lang w:eastAsia="ja-JP"/>
              </w:rPr>
            </w:pPr>
            <w:r w:rsidRPr="00E278A9">
              <w:rPr>
                <w:rFonts w:eastAsia="游ゴシック"/>
                <w:b/>
                <w:bCs/>
                <w:lang w:eastAsia="ja-JP"/>
              </w:rPr>
              <w:t xml:space="preserve">Is there a meaningful difference between starting ART on the same day versus </w:t>
            </w:r>
            <w:r w:rsidR="000F22F1">
              <w:rPr>
                <w:rFonts w:eastAsia="游ゴシック" w:hint="eastAsia"/>
                <w:b/>
                <w:bCs/>
                <w:lang w:eastAsia="ja-JP"/>
              </w:rPr>
              <w:t>ONE</w:t>
            </w:r>
            <w:r w:rsidRPr="00E278A9">
              <w:rPr>
                <w:rFonts w:eastAsia="游ゴシック"/>
                <w:b/>
                <w:bCs/>
                <w:lang w:eastAsia="ja-JP"/>
              </w:rPr>
              <w:t xml:space="preserve"> day after diagnosis?</w:t>
            </w:r>
          </w:p>
        </w:tc>
        <w:tc>
          <w:tcPr>
            <w:tcW w:w="4207" w:type="dxa"/>
          </w:tcPr>
          <w:p w14:paraId="649874A0" w14:textId="36579375" w:rsidR="00267F07" w:rsidRPr="00FC6127" w:rsidRDefault="00E278A9">
            <w:pPr>
              <w:rPr>
                <w:rFonts w:eastAsia="游ゴシック" w:hint="eastAsia"/>
                <w:lang w:eastAsia="ja-JP"/>
              </w:rPr>
            </w:pPr>
            <w:r w:rsidRPr="00E278A9">
              <w:rPr>
                <w:rFonts w:eastAsia="游ゴシック"/>
                <w:lang w:eastAsia="ja-JP"/>
              </w:rPr>
              <w:t xml:space="preserve">Possibly. Starting ART one day later might give patients </w:t>
            </w:r>
            <w:r w:rsidR="0060290E">
              <w:rPr>
                <w:rFonts w:eastAsia="游ゴシック" w:hint="eastAsia"/>
                <w:lang w:eastAsia="ja-JP"/>
              </w:rPr>
              <w:t xml:space="preserve">some </w:t>
            </w:r>
            <w:r w:rsidRPr="00E278A9">
              <w:rPr>
                <w:rFonts w:eastAsia="游ゴシック"/>
                <w:lang w:eastAsia="ja-JP"/>
              </w:rPr>
              <w:t>time to process their diagnosis and consult with partners or support workers. Still, as the professor suggested, a more nuanced approach would be to treat the timing of ART initiation as a continuous variable—measured in days—rather than a binary one.</w:t>
            </w:r>
          </w:p>
        </w:tc>
      </w:tr>
      <w:tr w:rsidR="00FC6127" w14:paraId="74635AA3" w14:textId="77777777" w:rsidTr="00267F07">
        <w:trPr>
          <w:trHeight w:val="2041"/>
        </w:trPr>
        <w:tc>
          <w:tcPr>
            <w:tcW w:w="796" w:type="dxa"/>
          </w:tcPr>
          <w:p w14:paraId="06B3864C" w14:textId="77777777" w:rsidR="00FC6127" w:rsidRDefault="00FC6127" w:rsidP="00E041E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919" w:type="dxa"/>
          </w:tcPr>
          <w:p w14:paraId="3033B919" w14:textId="134C35F5" w:rsidR="00FC6127" w:rsidRPr="00153876" w:rsidRDefault="00E278A9">
            <w:pPr>
              <w:rPr>
                <w:rFonts w:eastAsia="游ゴシック" w:hint="eastAsia"/>
                <w:b/>
                <w:bCs/>
                <w:lang w:eastAsia="ja-JP"/>
              </w:rPr>
            </w:pPr>
            <w:r w:rsidRPr="00E278A9">
              <w:rPr>
                <w:rFonts w:eastAsia="游ゴシック"/>
                <w:b/>
                <w:bCs/>
                <w:lang w:eastAsia="ja-JP"/>
              </w:rPr>
              <w:t>Is using 90 days as the threshold for care discontinuation appropriate?</w:t>
            </w:r>
          </w:p>
        </w:tc>
        <w:tc>
          <w:tcPr>
            <w:tcW w:w="4207" w:type="dxa"/>
          </w:tcPr>
          <w:p w14:paraId="4B50C35B" w14:textId="7D6256B1" w:rsidR="00FC6127" w:rsidRPr="00FC6127" w:rsidRDefault="00E278A9">
            <w:pPr>
              <w:rPr>
                <w:rFonts w:eastAsia="游ゴシック" w:hint="eastAsia"/>
                <w:lang w:eastAsia="ja-JP"/>
              </w:rPr>
            </w:pPr>
            <w:r w:rsidRPr="00E278A9">
              <w:rPr>
                <w:rFonts w:eastAsia="游ゴシック"/>
                <w:lang w:eastAsia="ja-JP"/>
              </w:rPr>
              <w:t>It may not be ideal. According to an infectious disease physician</w:t>
            </w:r>
            <w:r w:rsidR="00CE068F">
              <w:rPr>
                <w:rFonts w:eastAsia="游ゴシック" w:hint="eastAsia"/>
                <w:lang w:eastAsia="ja-JP"/>
              </w:rPr>
              <w:t xml:space="preserve"> in the class</w:t>
            </w:r>
            <w:r w:rsidRPr="00E278A9">
              <w:rPr>
                <w:rFonts w:eastAsia="游ゴシック"/>
                <w:lang w:eastAsia="ja-JP"/>
              </w:rPr>
              <w:t xml:space="preserve">, a delay of about one week is often acceptable in clinical practice. This could explain why many patients </w:t>
            </w:r>
            <w:r w:rsidR="00CA4E5C">
              <w:rPr>
                <w:rFonts w:eastAsia="游ゴシック" w:hint="eastAsia"/>
                <w:lang w:eastAsia="ja-JP"/>
              </w:rPr>
              <w:t xml:space="preserve">in this study </w:t>
            </w:r>
            <w:r w:rsidRPr="00E278A9">
              <w:rPr>
                <w:rFonts w:eastAsia="游ゴシック"/>
                <w:lang w:eastAsia="ja-JP"/>
              </w:rPr>
              <w:t>were classified as having discontinued care, even though their medication adherence remained relatively stable.</w:t>
            </w:r>
          </w:p>
        </w:tc>
      </w:tr>
    </w:tbl>
    <w:p w14:paraId="426FCDC8" w14:textId="3C23F672" w:rsidR="00DC643D" w:rsidRPr="00DC643D" w:rsidRDefault="00DC643D" w:rsidP="00DC643D">
      <w:r>
        <w:t xml:space="preserve"> </w:t>
      </w:r>
    </w:p>
    <w:sectPr w:rsidR="00DC643D" w:rsidRPr="00DC6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D277B"/>
    <w:multiLevelType w:val="hybridMultilevel"/>
    <w:tmpl w:val="44141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6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52"/>
    <w:rsid w:val="00027EE7"/>
    <w:rsid w:val="000F22F1"/>
    <w:rsid w:val="00153876"/>
    <w:rsid w:val="0019629B"/>
    <w:rsid w:val="001B6E11"/>
    <w:rsid w:val="00263EFE"/>
    <w:rsid w:val="00267F07"/>
    <w:rsid w:val="00282E05"/>
    <w:rsid w:val="002A2AB7"/>
    <w:rsid w:val="003149B3"/>
    <w:rsid w:val="004559EF"/>
    <w:rsid w:val="00557252"/>
    <w:rsid w:val="0060290E"/>
    <w:rsid w:val="0068272A"/>
    <w:rsid w:val="00705D5B"/>
    <w:rsid w:val="0087460A"/>
    <w:rsid w:val="00891F13"/>
    <w:rsid w:val="00907944"/>
    <w:rsid w:val="00952CBB"/>
    <w:rsid w:val="009F0F76"/>
    <w:rsid w:val="00CA4E5C"/>
    <w:rsid w:val="00CE068F"/>
    <w:rsid w:val="00D07A64"/>
    <w:rsid w:val="00DC643D"/>
    <w:rsid w:val="00E041E3"/>
    <w:rsid w:val="00E278A9"/>
    <w:rsid w:val="00F02B6E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5D437"/>
  <w15:chartTrackingRefBased/>
  <w15:docId w15:val="{8A0B93D9-DBC0-4E27-B52D-4718B34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52"/>
    <w:pPr>
      <w:spacing w:after="200" w:line="276" w:lineRule="auto"/>
    </w:pPr>
    <w:rPr>
      <w:rFonts w:ascii="Calibri" w:hAnsi="Calibri" w:cs="Times New Roman"/>
      <w:kern w:val="0"/>
      <w:lang w:val="en-US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2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2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2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2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25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25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25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25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 w:eastAsia="zh-TW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55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57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5572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557252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572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55725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5572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5572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zh-TW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5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2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zh-TW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5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25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IN" w:eastAsia="zh-TW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5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25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IN" w:eastAsia="zh-TW"/>
      <w14:ligatures w14:val="standardContextual"/>
    </w:rPr>
  </w:style>
  <w:style w:type="character" w:styleId="21">
    <w:name w:val="Intense Emphasis"/>
    <w:basedOn w:val="a0"/>
    <w:uiPriority w:val="21"/>
    <w:qFormat/>
    <w:rsid w:val="0055725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val="en-IN" w:eastAsia="zh-TW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5725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5725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6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0771-901D-4EE4-A52E-2EFA9121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Jain</dc:creator>
  <cp:keywords/>
  <dc:description/>
  <cp:lastModifiedBy>岳史 三輪</cp:lastModifiedBy>
  <cp:revision>26</cp:revision>
  <dcterms:created xsi:type="dcterms:W3CDTF">2025-05-03T17:09:00Z</dcterms:created>
  <dcterms:modified xsi:type="dcterms:W3CDTF">2025-05-09T03:41:00Z</dcterms:modified>
</cp:coreProperties>
</file>